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BDA5F" w14:textId="7900775C" w:rsidR="00ED42D8" w:rsidRPr="00A444F9" w:rsidRDefault="00EF2582" w:rsidP="00EF2582">
      <w:pPr>
        <w:pStyle w:val="Documenttype"/>
        <w:rPr>
          <w:sz w:val="36"/>
          <w:szCs w:val="36"/>
        </w:rPr>
      </w:pPr>
      <w:r>
        <w:rPr>
          <w:sz w:val="36"/>
          <w:szCs w:val="36"/>
        </w:rPr>
        <w:t>Briefing paper</w:t>
      </w:r>
    </w:p>
    <w:p w14:paraId="5D95280E" w14:textId="48BC5754" w:rsidR="00E2433D" w:rsidRPr="00AB3E4E" w:rsidRDefault="001B7D9C" w:rsidP="00400E89">
      <w:pPr>
        <w:pStyle w:val="Title"/>
        <w:spacing w:before="0" w:line="240" w:lineRule="auto"/>
      </w:pPr>
      <w:sdt>
        <w:sdtPr>
          <w:rPr>
            <w:sz w:val="112"/>
            <w:szCs w:val="112"/>
          </w:rPr>
          <w:alias w:val="Title"/>
          <w:tag w:val=""/>
          <w:id w:val="1663586378"/>
          <w:placeholder>
            <w:docPart w:val="A0E7509C7EE94066A5F6303DAC6D2726"/>
          </w:placeholder>
          <w:dataBinding w:prefixMappings="xmlns:ns0='http://purl.org/dc/elements/1.1/' xmlns:ns1='http://schemas.openxmlformats.org/package/2006/metadata/core-properties' " w:xpath="/ns1:coreProperties[1]/ns0:title[1]" w:storeItemID="{6C3C8BC8-F283-45AE-878A-BAB7291924A1}"/>
          <w:text/>
        </w:sdtPr>
        <w:sdtEndPr/>
        <w:sdtContent>
          <w:r w:rsidR="00770C6F" w:rsidRPr="00400E89">
            <w:rPr>
              <w:sz w:val="112"/>
              <w:szCs w:val="112"/>
            </w:rPr>
            <w:t>Strengthening the right to independent living</w:t>
          </w:r>
        </w:sdtContent>
      </w:sdt>
      <w:r w:rsidR="00526047" w:rsidRPr="00465B9E">
        <w:rPr>
          <w:szCs w:val="36"/>
          <w:highlight w:val="yellow"/>
        </w:rPr>
        <w:br w:type="page"/>
      </w:r>
    </w:p>
    <w:sdt>
      <w:sdtPr>
        <w:rPr>
          <w:b/>
          <w:color w:val="auto"/>
          <w:sz w:val="28"/>
          <w:szCs w:val="22"/>
        </w:rPr>
        <w:id w:val="-1361974634"/>
        <w:docPartObj>
          <w:docPartGallery w:val="Table of Contents"/>
          <w:docPartUnique/>
        </w:docPartObj>
      </w:sdtPr>
      <w:sdtEndPr>
        <w:rPr>
          <w:b w:val="0"/>
          <w:color w:val="009C98" w:themeColor="accent1"/>
          <w:sz w:val="52"/>
          <w:szCs w:val="56"/>
        </w:rPr>
      </w:sdtEndPr>
      <w:sdtContent>
        <w:p w14:paraId="3E2E8E1B" w14:textId="06E5C0C8" w:rsidR="00C50BF9" w:rsidRPr="00095255" w:rsidRDefault="00C50BF9" w:rsidP="00C50BF9">
          <w:pPr>
            <w:pStyle w:val="TOCHeading"/>
          </w:pPr>
          <w:r w:rsidRPr="00A82FF5">
            <w:rPr>
              <w:szCs w:val="52"/>
            </w:rPr>
            <w:t>Contents</w:t>
          </w:r>
        </w:p>
      </w:sdtContent>
    </w:sdt>
    <w:p w14:paraId="2B30077D" w14:textId="5AB7B431" w:rsidR="00D871BB" w:rsidRDefault="00C50BF9">
      <w:pPr>
        <w:pStyle w:val="TOC1"/>
        <w:tabs>
          <w:tab w:val="right" w:leader="dot" w:pos="8608"/>
        </w:tabs>
        <w:rPr>
          <w:rFonts w:eastAsiaTheme="minorEastAsia"/>
          <w:b w:val="0"/>
          <w:noProof/>
          <w:sz w:val="22"/>
          <w:lang w:eastAsia="ja-JP"/>
        </w:rPr>
      </w:pPr>
      <w:r>
        <w:fldChar w:fldCharType="begin"/>
      </w:r>
      <w:r>
        <w:instrText xml:space="preserve"> TOC \o "1-2" \h \z \u </w:instrText>
      </w:r>
      <w:r>
        <w:fldChar w:fldCharType="separate"/>
      </w:r>
      <w:hyperlink w:anchor="_Toc71213909" w:history="1">
        <w:r w:rsidR="00D871BB" w:rsidRPr="008626CF">
          <w:rPr>
            <w:rStyle w:val="Hyperlink"/>
            <w:noProof/>
          </w:rPr>
          <w:t>Introduction and executive summary</w:t>
        </w:r>
        <w:r w:rsidR="00D871BB">
          <w:rPr>
            <w:noProof/>
            <w:webHidden/>
          </w:rPr>
          <w:tab/>
        </w:r>
        <w:r w:rsidR="00D871BB">
          <w:rPr>
            <w:noProof/>
            <w:webHidden/>
          </w:rPr>
          <w:fldChar w:fldCharType="begin"/>
        </w:r>
        <w:r w:rsidR="00D871BB">
          <w:rPr>
            <w:noProof/>
            <w:webHidden/>
          </w:rPr>
          <w:instrText xml:space="preserve"> PAGEREF _Toc71213909 \h </w:instrText>
        </w:r>
        <w:r w:rsidR="00D871BB">
          <w:rPr>
            <w:noProof/>
            <w:webHidden/>
          </w:rPr>
        </w:r>
        <w:r w:rsidR="00D871BB">
          <w:rPr>
            <w:noProof/>
            <w:webHidden/>
          </w:rPr>
          <w:fldChar w:fldCharType="separate"/>
        </w:r>
        <w:r w:rsidR="00D871BB">
          <w:rPr>
            <w:noProof/>
            <w:webHidden/>
          </w:rPr>
          <w:t>3</w:t>
        </w:r>
        <w:r w:rsidR="00D871BB">
          <w:rPr>
            <w:noProof/>
            <w:webHidden/>
          </w:rPr>
          <w:fldChar w:fldCharType="end"/>
        </w:r>
      </w:hyperlink>
    </w:p>
    <w:p w14:paraId="6C9C0B44" w14:textId="4FB4C69A" w:rsidR="00D871BB" w:rsidRDefault="001B7D9C">
      <w:pPr>
        <w:pStyle w:val="TOC2"/>
        <w:tabs>
          <w:tab w:val="right" w:leader="dot" w:pos="8608"/>
        </w:tabs>
        <w:rPr>
          <w:rFonts w:eastAsiaTheme="minorEastAsia"/>
          <w:noProof/>
          <w:sz w:val="22"/>
          <w:lang w:eastAsia="ja-JP"/>
        </w:rPr>
      </w:pPr>
      <w:hyperlink w:anchor="_Toc71213910" w:history="1">
        <w:r w:rsidR="00D871BB" w:rsidRPr="008626CF">
          <w:rPr>
            <w:rStyle w:val="Hyperlink"/>
            <w:noProof/>
          </w:rPr>
          <w:t>About us</w:t>
        </w:r>
        <w:r w:rsidR="00D871BB">
          <w:rPr>
            <w:noProof/>
            <w:webHidden/>
          </w:rPr>
          <w:tab/>
        </w:r>
        <w:r w:rsidR="00D871BB">
          <w:rPr>
            <w:noProof/>
            <w:webHidden/>
          </w:rPr>
          <w:fldChar w:fldCharType="begin"/>
        </w:r>
        <w:r w:rsidR="00D871BB">
          <w:rPr>
            <w:noProof/>
            <w:webHidden/>
          </w:rPr>
          <w:instrText xml:space="preserve"> PAGEREF _Toc71213910 \h </w:instrText>
        </w:r>
        <w:r w:rsidR="00D871BB">
          <w:rPr>
            <w:noProof/>
            <w:webHidden/>
          </w:rPr>
        </w:r>
        <w:r w:rsidR="00D871BB">
          <w:rPr>
            <w:noProof/>
            <w:webHidden/>
          </w:rPr>
          <w:fldChar w:fldCharType="separate"/>
        </w:r>
        <w:r w:rsidR="00D871BB">
          <w:rPr>
            <w:noProof/>
            <w:webHidden/>
          </w:rPr>
          <w:t>3</w:t>
        </w:r>
        <w:r w:rsidR="00D871BB">
          <w:rPr>
            <w:noProof/>
            <w:webHidden/>
          </w:rPr>
          <w:fldChar w:fldCharType="end"/>
        </w:r>
      </w:hyperlink>
    </w:p>
    <w:p w14:paraId="39692D22" w14:textId="1FE5DB01" w:rsidR="00D871BB" w:rsidRDefault="001B7D9C">
      <w:pPr>
        <w:pStyle w:val="TOC2"/>
        <w:tabs>
          <w:tab w:val="right" w:leader="dot" w:pos="8608"/>
        </w:tabs>
        <w:rPr>
          <w:rFonts w:eastAsiaTheme="minorEastAsia"/>
          <w:noProof/>
          <w:sz w:val="22"/>
          <w:lang w:eastAsia="ja-JP"/>
        </w:rPr>
      </w:pPr>
      <w:hyperlink w:anchor="_Toc71213911" w:history="1">
        <w:r w:rsidR="00D871BB" w:rsidRPr="008626CF">
          <w:rPr>
            <w:rStyle w:val="Hyperlink"/>
            <w:noProof/>
          </w:rPr>
          <w:t>Executive summary</w:t>
        </w:r>
        <w:r w:rsidR="00D871BB">
          <w:rPr>
            <w:noProof/>
            <w:webHidden/>
          </w:rPr>
          <w:tab/>
        </w:r>
        <w:r w:rsidR="00D871BB">
          <w:rPr>
            <w:noProof/>
            <w:webHidden/>
          </w:rPr>
          <w:fldChar w:fldCharType="begin"/>
        </w:r>
        <w:r w:rsidR="00D871BB">
          <w:rPr>
            <w:noProof/>
            <w:webHidden/>
          </w:rPr>
          <w:instrText xml:space="preserve"> PAGEREF _Toc71213911 \h </w:instrText>
        </w:r>
        <w:r w:rsidR="00D871BB">
          <w:rPr>
            <w:noProof/>
            <w:webHidden/>
          </w:rPr>
        </w:r>
        <w:r w:rsidR="00D871BB">
          <w:rPr>
            <w:noProof/>
            <w:webHidden/>
          </w:rPr>
          <w:fldChar w:fldCharType="separate"/>
        </w:r>
        <w:r w:rsidR="00D871BB">
          <w:rPr>
            <w:noProof/>
            <w:webHidden/>
          </w:rPr>
          <w:t>3</w:t>
        </w:r>
        <w:r w:rsidR="00D871BB">
          <w:rPr>
            <w:noProof/>
            <w:webHidden/>
          </w:rPr>
          <w:fldChar w:fldCharType="end"/>
        </w:r>
      </w:hyperlink>
    </w:p>
    <w:p w14:paraId="12F54DE4" w14:textId="7D3EC1C5" w:rsidR="00D871BB" w:rsidRDefault="001B7D9C">
      <w:pPr>
        <w:pStyle w:val="TOC2"/>
        <w:tabs>
          <w:tab w:val="right" w:leader="dot" w:pos="8608"/>
        </w:tabs>
        <w:rPr>
          <w:rFonts w:eastAsiaTheme="minorEastAsia"/>
          <w:noProof/>
          <w:sz w:val="22"/>
          <w:lang w:eastAsia="ja-JP"/>
        </w:rPr>
      </w:pPr>
      <w:hyperlink w:anchor="_Toc71213912" w:history="1">
        <w:r w:rsidR="00D871BB" w:rsidRPr="008626CF">
          <w:rPr>
            <w:rStyle w:val="Hyperlink"/>
            <w:noProof/>
          </w:rPr>
          <w:t>Introduction</w:t>
        </w:r>
        <w:r w:rsidR="00D871BB">
          <w:rPr>
            <w:noProof/>
            <w:webHidden/>
          </w:rPr>
          <w:tab/>
        </w:r>
        <w:r w:rsidR="00D871BB">
          <w:rPr>
            <w:noProof/>
            <w:webHidden/>
          </w:rPr>
          <w:fldChar w:fldCharType="begin"/>
        </w:r>
        <w:r w:rsidR="00D871BB">
          <w:rPr>
            <w:noProof/>
            <w:webHidden/>
          </w:rPr>
          <w:instrText xml:space="preserve"> PAGEREF _Toc71213912 \h </w:instrText>
        </w:r>
        <w:r w:rsidR="00D871BB">
          <w:rPr>
            <w:noProof/>
            <w:webHidden/>
          </w:rPr>
        </w:r>
        <w:r w:rsidR="00D871BB">
          <w:rPr>
            <w:noProof/>
            <w:webHidden/>
          </w:rPr>
          <w:fldChar w:fldCharType="separate"/>
        </w:r>
        <w:r w:rsidR="00D871BB">
          <w:rPr>
            <w:noProof/>
            <w:webHidden/>
          </w:rPr>
          <w:t>4</w:t>
        </w:r>
        <w:r w:rsidR="00D871BB">
          <w:rPr>
            <w:noProof/>
            <w:webHidden/>
          </w:rPr>
          <w:fldChar w:fldCharType="end"/>
        </w:r>
      </w:hyperlink>
    </w:p>
    <w:p w14:paraId="67B9E3D1" w14:textId="331A88A3" w:rsidR="00D871BB" w:rsidRDefault="001B7D9C">
      <w:pPr>
        <w:pStyle w:val="TOC2"/>
        <w:tabs>
          <w:tab w:val="right" w:leader="dot" w:pos="8608"/>
        </w:tabs>
        <w:rPr>
          <w:rFonts w:eastAsiaTheme="minorEastAsia"/>
          <w:noProof/>
          <w:sz w:val="22"/>
          <w:lang w:eastAsia="ja-JP"/>
        </w:rPr>
      </w:pPr>
      <w:hyperlink w:anchor="_Toc71213913" w:history="1">
        <w:r w:rsidR="00D871BB" w:rsidRPr="008626CF">
          <w:rPr>
            <w:rStyle w:val="Hyperlink"/>
            <w:noProof/>
          </w:rPr>
          <w:t>Scope of this paper</w:t>
        </w:r>
        <w:r w:rsidR="00D871BB">
          <w:rPr>
            <w:noProof/>
            <w:webHidden/>
          </w:rPr>
          <w:tab/>
        </w:r>
        <w:r w:rsidR="00D871BB">
          <w:rPr>
            <w:noProof/>
            <w:webHidden/>
          </w:rPr>
          <w:fldChar w:fldCharType="begin"/>
        </w:r>
        <w:r w:rsidR="00D871BB">
          <w:rPr>
            <w:noProof/>
            <w:webHidden/>
          </w:rPr>
          <w:instrText xml:space="preserve"> PAGEREF _Toc71213913 \h </w:instrText>
        </w:r>
        <w:r w:rsidR="00D871BB">
          <w:rPr>
            <w:noProof/>
            <w:webHidden/>
          </w:rPr>
        </w:r>
        <w:r w:rsidR="00D871BB">
          <w:rPr>
            <w:noProof/>
            <w:webHidden/>
          </w:rPr>
          <w:fldChar w:fldCharType="separate"/>
        </w:r>
        <w:r w:rsidR="00D871BB">
          <w:rPr>
            <w:noProof/>
            <w:webHidden/>
          </w:rPr>
          <w:t>6</w:t>
        </w:r>
        <w:r w:rsidR="00D871BB">
          <w:rPr>
            <w:noProof/>
            <w:webHidden/>
          </w:rPr>
          <w:fldChar w:fldCharType="end"/>
        </w:r>
      </w:hyperlink>
    </w:p>
    <w:p w14:paraId="6165A769" w14:textId="6F7B0644" w:rsidR="00D871BB" w:rsidRDefault="001B7D9C">
      <w:pPr>
        <w:pStyle w:val="TOC2"/>
        <w:tabs>
          <w:tab w:val="right" w:leader="dot" w:pos="8608"/>
        </w:tabs>
        <w:rPr>
          <w:rFonts w:eastAsiaTheme="minorEastAsia"/>
          <w:noProof/>
          <w:sz w:val="22"/>
          <w:lang w:eastAsia="ja-JP"/>
        </w:rPr>
      </w:pPr>
      <w:hyperlink w:anchor="_Toc71213914" w:history="1">
        <w:r w:rsidR="00D871BB" w:rsidRPr="008626CF">
          <w:rPr>
            <w:rStyle w:val="Hyperlink"/>
            <w:noProof/>
          </w:rPr>
          <w:t>Incorporating the right to independent living in domestic law</w:t>
        </w:r>
        <w:r w:rsidR="00D871BB">
          <w:rPr>
            <w:noProof/>
            <w:webHidden/>
          </w:rPr>
          <w:tab/>
        </w:r>
        <w:r w:rsidR="00D871BB">
          <w:rPr>
            <w:noProof/>
            <w:webHidden/>
          </w:rPr>
          <w:fldChar w:fldCharType="begin"/>
        </w:r>
        <w:r w:rsidR="00D871BB">
          <w:rPr>
            <w:noProof/>
            <w:webHidden/>
          </w:rPr>
          <w:instrText xml:space="preserve"> PAGEREF _Toc71213914 \h </w:instrText>
        </w:r>
        <w:r w:rsidR="00D871BB">
          <w:rPr>
            <w:noProof/>
            <w:webHidden/>
          </w:rPr>
        </w:r>
        <w:r w:rsidR="00D871BB">
          <w:rPr>
            <w:noProof/>
            <w:webHidden/>
          </w:rPr>
          <w:fldChar w:fldCharType="separate"/>
        </w:r>
        <w:r w:rsidR="00D871BB">
          <w:rPr>
            <w:noProof/>
            <w:webHidden/>
          </w:rPr>
          <w:t>7</w:t>
        </w:r>
        <w:r w:rsidR="00D871BB">
          <w:rPr>
            <w:noProof/>
            <w:webHidden/>
          </w:rPr>
          <w:fldChar w:fldCharType="end"/>
        </w:r>
      </w:hyperlink>
    </w:p>
    <w:p w14:paraId="13D442DC" w14:textId="36CB60DF" w:rsidR="00D871BB" w:rsidRDefault="001B7D9C">
      <w:pPr>
        <w:pStyle w:val="TOC2"/>
        <w:tabs>
          <w:tab w:val="right" w:leader="dot" w:pos="8608"/>
        </w:tabs>
        <w:rPr>
          <w:rFonts w:eastAsiaTheme="minorEastAsia"/>
          <w:noProof/>
          <w:sz w:val="22"/>
          <w:lang w:eastAsia="ja-JP"/>
        </w:rPr>
      </w:pPr>
      <w:hyperlink w:anchor="_Toc71213915" w:history="1">
        <w:r w:rsidR="00D871BB" w:rsidRPr="008626CF">
          <w:rPr>
            <w:rStyle w:val="Hyperlink"/>
            <w:noProof/>
          </w:rPr>
          <w:t>Involving disabled people in decisions that affect their lives</w:t>
        </w:r>
        <w:r w:rsidR="00D871BB">
          <w:rPr>
            <w:noProof/>
            <w:webHidden/>
          </w:rPr>
          <w:tab/>
        </w:r>
        <w:r w:rsidR="00D871BB">
          <w:rPr>
            <w:noProof/>
            <w:webHidden/>
          </w:rPr>
          <w:fldChar w:fldCharType="begin"/>
        </w:r>
        <w:r w:rsidR="00D871BB">
          <w:rPr>
            <w:noProof/>
            <w:webHidden/>
          </w:rPr>
          <w:instrText xml:space="preserve"> PAGEREF _Toc71213915 \h </w:instrText>
        </w:r>
        <w:r w:rsidR="00D871BB">
          <w:rPr>
            <w:noProof/>
            <w:webHidden/>
          </w:rPr>
        </w:r>
        <w:r w:rsidR="00D871BB">
          <w:rPr>
            <w:noProof/>
            <w:webHidden/>
          </w:rPr>
          <w:fldChar w:fldCharType="separate"/>
        </w:r>
        <w:r w:rsidR="00D871BB">
          <w:rPr>
            <w:noProof/>
            <w:webHidden/>
          </w:rPr>
          <w:t>9</w:t>
        </w:r>
        <w:r w:rsidR="00D871BB">
          <w:rPr>
            <w:noProof/>
            <w:webHidden/>
          </w:rPr>
          <w:fldChar w:fldCharType="end"/>
        </w:r>
      </w:hyperlink>
    </w:p>
    <w:p w14:paraId="5115B1FC" w14:textId="05EDC8EC" w:rsidR="00D871BB" w:rsidRDefault="001B7D9C">
      <w:pPr>
        <w:pStyle w:val="TOC1"/>
        <w:tabs>
          <w:tab w:val="right" w:leader="dot" w:pos="8608"/>
        </w:tabs>
        <w:rPr>
          <w:rFonts w:eastAsiaTheme="minorEastAsia"/>
          <w:b w:val="0"/>
          <w:noProof/>
          <w:sz w:val="22"/>
          <w:lang w:eastAsia="ja-JP"/>
        </w:rPr>
      </w:pPr>
      <w:hyperlink w:anchor="_Toc71213916" w:history="1">
        <w:r w:rsidR="00D871BB" w:rsidRPr="008626CF">
          <w:rPr>
            <w:rStyle w:val="Hyperlink"/>
            <w:noProof/>
          </w:rPr>
          <w:t>Equal choice and control about where to call home</w:t>
        </w:r>
        <w:r w:rsidR="00D871BB">
          <w:rPr>
            <w:noProof/>
            <w:webHidden/>
          </w:rPr>
          <w:tab/>
        </w:r>
        <w:r w:rsidR="00D871BB">
          <w:rPr>
            <w:noProof/>
            <w:webHidden/>
          </w:rPr>
          <w:fldChar w:fldCharType="begin"/>
        </w:r>
        <w:r w:rsidR="00D871BB">
          <w:rPr>
            <w:noProof/>
            <w:webHidden/>
          </w:rPr>
          <w:instrText xml:space="preserve"> PAGEREF _Toc71213916 \h </w:instrText>
        </w:r>
        <w:r w:rsidR="00D871BB">
          <w:rPr>
            <w:noProof/>
            <w:webHidden/>
          </w:rPr>
        </w:r>
        <w:r w:rsidR="00D871BB">
          <w:rPr>
            <w:noProof/>
            <w:webHidden/>
          </w:rPr>
          <w:fldChar w:fldCharType="separate"/>
        </w:r>
        <w:r w:rsidR="00D871BB">
          <w:rPr>
            <w:noProof/>
            <w:webHidden/>
          </w:rPr>
          <w:t>10</w:t>
        </w:r>
        <w:r w:rsidR="00D871BB">
          <w:rPr>
            <w:noProof/>
            <w:webHidden/>
          </w:rPr>
          <w:fldChar w:fldCharType="end"/>
        </w:r>
      </w:hyperlink>
    </w:p>
    <w:p w14:paraId="4859F600" w14:textId="3D298F8A" w:rsidR="00D871BB" w:rsidRDefault="001B7D9C">
      <w:pPr>
        <w:pStyle w:val="TOC2"/>
        <w:tabs>
          <w:tab w:val="right" w:leader="dot" w:pos="8608"/>
        </w:tabs>
        <w:rPr>
          <w:rFonts w:eastAsiaTheme="minorEastAsia"/>
          <w:noProof/>
          <w:sz w:val="22"/>
          <w:lang w:eastAsia="ja-JP"/>
        </w:rPr>
      </w:pPr>
      <w:hyperlink w:anchor="_Toc71213917" w:history="1">
        <w:r w:rsidR="00D871BB" w:rsidRPr="008626CF">
          <w:rPr>
            <w:rStyle w:val="Hyperlink"/>
            <w:noProof/>
          </w:rPr>
          <w:t>Detention and treatment of people with learning disabilities or autism</w:t>
        </w:r>
        <w:r w:rsidR="00D871BB">
          <w:rPr>
            <w:noProof/>
            <w:webHidden/>
          </w:rPr>
          <w:tab/>
        </w:r>
        <w:r w:rsidR="00D871BB">
          <w:rPr>
            <w:noProof/>
            <w:webHidden/>
          </w:rPr>
          <w:fldChar w:fldCharType="begin"/>
        </w:r>
        <w:r w:rsidR="00D871BB">
          <w:rPr>
            <w:noProof/>
            <w:webHidden/>
          </w:rPr>
          <w:instrText xml:space="preserve"> PAGEREF _Toc71213917 \h </w:instrText>
        </w:r>
        <w:r w:rsidR="00D871BB">
          <w:rPr>
            <w:noProof/>
            <w:webHidden/>
          </w:rPr>
        </w:r>
        <w:r w:rsidR="00D871BB">
          <w:rPr>
            <w:noProof/>
            <w:webHidden/>
          </w:rPr>
          <w:fldChar w:fldCharType="separate"/>
        </w:r>
        <w:r w:rsidR="00D871BB">
          <w:rPr>
            <w:noProof/>
            <w:webHidden/>
          </w:rPr>
          <w:t>11</w:t>
        </w:r>
        <w:r w:rsidR="00D871BB">
          <w:rPr>
            <w:noProof/>
            <w:webHidden/>
          </w:rPr>
          <w:fldChar w:fldCharType="end"/>
        </w:r>
      </w:hyperlink>
    </w:p>
    <w:p w14:paraId="3E3F3597" w14:textId="5ABD48E2" w:rsidR="00D871BB" w:rsidRDefault="001B7D9C">
      <w:pPr>
        <w:pStyle w:val="TOC2"/>
        <w:tabs>
          <w:tab w:val="right" w:leader="dot" w:pos="8608"/>
        </w:tabs>
        <w:rPr>
          <w:rFonts w:eastAsiaTheme="minorEastAsia"/>
          <w:noProof/>
          <w:sz w:val="22"/>
          <w:lang w:eastAsia="ja-JP"/>
        </w:rPr>
      </w:pPr>
      <w:hyperlink w:anchor="_Toc71213918" w:history="1">
        <w:r w:rsidR="00D871BB" w:rsidRPr="008626CF">
          <w:rPr>
            <w:rStyle w:val="Hyperlink"/>
            <w:noProof/>
          </w:rPr>
          <w:t>Mental health detention</w:t>
        </w:r>
        <w:r w:rsidR="00D871BB">
          <w:rPr>
            <w:noProof/>
            <w:webHidden/>
          </w:rPr>
          <w:tab/>
        </w:r>
        <w:r w:rsidR="00D871BB">
          <w:rPr>
            <w:noProof/>
            <w:webHidden/>
          </w:rPr>
          <w:fldChar w:fldCharType="begin"/>
        </w:r>
        <w:r w:rsidR="00D871BB">
          <w:rPr>
            <w:noProof/>
            <w:webHidden/>
          </w:rPr>
          <w:instrText xml:space="preserve"> PAGEREF _Toc71213918 \h </w:instrText>
        </w:r>
        <w:r w:rsidR="00D871BB">
          <w:rPr>
            <w:noProof/>
            <w:webHidden/>
          </w:rPr>
        </w:r>
        <w:r w:rsidR="00D871BB">
          <w:rPr>
            <w:noProof/>
            <w:webHidden/>
          </w:rPr>
          <w:fldChar w:fldCharType="separate"/>
        </w:r>
        <w:r w:rsidR="00D871BB">
          <w:rPr>
            <w:noProof/>
            <w:webHidden/>
          </w:rPr>
          <w:t>14</w:t>
        </w:r>
        <w:r w:rsidR="00D871BB">
          <w:rPr>
            <w:noProof/>
            <w:webHidden/>
          </w:rPr>
          <w:fldChar w:fldCharType="end"/>
        </w:r>
      </w:hyperlink>
    </w:p>
    <w:p w14:paraId="19F7C8A9" w14:textId="7ED51236" w:rsidR="00D871BB" w:rsidRDefault="001B7D9C">
      <w:pPr>
        <w:pStyle w:val="TOC2"/>
        <w:tabs>
          <w:tab w:val="right" w:leader="dot" w:pos="8608"/>
        </w:tabs>
        <w:rPr>
          <w:rFonts w:eastAsiaTheme="minorEastAsia"/>
          <w:noProof/>
          <w:sz w:val="22"/>
          <w:lang w:eastAsia="ja-JP"/>
        </w:rPr>
      </w:pPr>
      <w:hyperlink w:anchor="_Toc71213919" w:history="1">
        <w:r w:rsidR="00D871BB" w:rsidRPr="008626CF">
          <w:rPr>
            <w:rStyle w:val="Hyperlink"/>
            <w:noProof/>
          </w:rPr>
          <w:t>Mental Capacity (Amendment) Act</w:t>
        </w:r>
        <w:r w:rsidR="00D871BB">
          <w:rPr>
            <w:noProof/>
            <w:webHidden/>
          </w:rPr>
          <w:tab/>
        </w:r>
        <w:r w:rsidR="00D871BB">
          <w:rPr>
            <w:noProof/>
            <w:webHidden/>
          </w:rPr>
          <w:fldChar w:fldCharType="begin"/>
        </w:r>
        <w:r w:rsidR="00D871BB">
          <w:rPr>
            <w:noProof/>
            <w:webHidden/>
          </w:rPr>
          <w:instrText xml:space="preserve"> PAGEREF _Toc71213919 \h </w:instrText>
        </w:r>
        <w:r w:rsidR="00D871BB">
          <w:rPr>
            <w:noProof/>
            <w:webHidden/>
          </w:rPr>
        </w:r>
        <w:r w:rsidR="00D871BB">
          <w:rPr>
            <w:noProof/>
            <w:webHidden/>
          </w:rPr>
          <w:fldChar w:fldCharType="separate"/>
        </w:r>
        <w:r w:rsidR="00D871BB">
          <w:rPr>
            <w:noProof/>
            <w:webHidden/>
          </w:rPr>
          <w:t>19</w:t>
        </w:r>
        <w:r w:rsidR="00D871BB">
          <w:rPr>
            <w:noProof/>
            <w:webHidden/>
          </w:rPr>
          <w:fldChar w:fldCharType="end"/>
        </w:r>
      </w:hyperlink>
    </w:p>
    <w:p w14:paraId="51D9B6F6" w14:textId="35AF1436" w:rsidR="00D871BB" w:rsidRDefault="001B7D9C">
      <w:pPr>
        <w:pStyle w:val="TOC1"/>
        <w:tabs>
          <w:tab w:val="right" w:leader="dot" w:pos="8608"/>
        </w:tabs>
        <w:rPr>
          <w:rFonts w:eastAsiaTheme="minorEastAsia"/>
          <w:b w:val="0"/>
          <w:noProof/>
          <w:sz w:val="22"/>
          <w:lang w:eastAsia="ja-JP"/>
        </w:rPr>
      </w:pPr>
      <w:hyperlink w:anchor="_Toc71213920" w:history="1">
        <w:r w:rsidR="00D871BB" w:rsidRPr="008626CF">
          <w:rPr>
            <w:rStyle w:val="Hyperlink"/>
            <w:noProof/>
          </w:rPr>
          <w:t>Access to support services</w:t>
        </w:r>
        <w:r w:rsidR="00D871BB">
          <w:rPr>
            <w:noProof/>
            <w:webHidden/>
          </w:rPr>
          <w:tab/>
        </w:r>
        <w:r w:rsidR="00D871BB">
          <w:rPr>
            <w:noProof/>
            <w:webHidden/>
          </w:rPr>
          <w:fldChar w:fldCharType="begin"/>
        </w:r>
        <w:r w:rsidR="00D871BB">
          <w:rPr>
            <w:noProof/>
            <w:webHidden/>
          </w:rPr>
          <w:instrText xml:space="preserve"> PAGEREF _Toc71213920 \h </w:instrText>
        </w:r>
        <w:r w:rsidR="00D871BB">
          <w:rPr>
            <w:noProof/>
            <w:webHidden/>
          </w:rPr>
        </w:r>
        <w:r w:rsidR="00D871BB">
          <w:rPr>
            <w:noProof/>
            <w:webHidden/>
          </w:rPr>
          <w:fldChar w:fldCharType="separate"/>
        </w:r>
        <w:r w:rsidR="00D871BB">
          <w:rPr>
            <w:noProof/>
            <w:webHidden/>
          </w:rPr>
          <w:t>21</w:t>
        </w:r>
        <w:r w:rsidR="00D871BB">
          <w:rPr>
            <w:noProof/>
            <w:webHidden/>
          </w:rPr>
          <w:fldChar w:fldCharType="end"/>
        </w:r>
      </w:hyperlink>
    </w:p>
    <w:p w14:paraId="284CE4B8" w14:textId="7549E98D" w:rsidR="00D871BB" w:rsidRDefault="001B7D9C">
      <w:pPr>
        <w:pStyle w:val="TOC2"/>
        <w:tabs>
          <w:tab w:val="right" w:leader="dot" w:pos="8608"/>
        </w:tabs>
        <w:rPr>
          <w:rFonts w:eastAsiaTheme="minorEastAsia"/>
          <w:noProof/>
          <w:sz w:val="22"/>
          <w:lang w:eastAsia="ja-JP"/>
        </w:rPr>
      </w:pPr>
      <w:hyperlink w:anchor="_Toc71213921" w:history="1">
        <w:r w:rsidR="00D871BB" w:rsidRPr="008626CF">
          <w:rPr>
            <w:rStyle w:val="Hyperlink"/>
            <w:noProof/>
          </w:rPr>
          <w:t>Provision of adult social care</w:t>
        </w:r>
        <w:r w:rsidR="00D871BB">
          <w:rPr>
            <w:noProof/>
            <w:webHidden/>
          </w:rPr>
          <w:tab/>
        </w:r>
        <w:r w:rsidR="00D871BB">
          <w:rPr>
            <w:noProof/>
            <w:webHidden/>
          </w:rPr>
          <w:fldChar w:fldCharType="begin"/>
        </w:r>
        <w:r w:rsidR="00D871BB">
          <w:rPr>
            <w:noProof/>
            <w:webHidden/>
          </w:rPr>
          <w:instrText xml:space="preserve"> PAGEREF _Toc71213921 \h </w:instrText>
        </w:r>
        <w:r w:rsidR="00D871BB">
          <w:rPr>
            <w:noProof/>
            <w:webHidden/>
          </w:rPr>
        </w:r>
        <w:r w:rsidR="00D871BB">
          <w:rPr>
            <w:noProof/>
            <w:webHidden/>
          </w:rPr>
          <w:fldChar w:fldCharType="separate"/>
        </w:r>
        <w:r w:rsidR="00D871BB">
          <w:rPr>
            <w:noProof/>
            <w:webHidden/>
          </w:rPr>
          <w:t>21</w:t>
        </w:r>
        <w:r w:rsidR="00D871BB">
          <w:rPr>
            <w:noProof/>
            <w:webHidden/>
          </w:rPr>
          <w:fldChar w:fldCharType="end"/>
        </w:r>
      </w:hyperlink>
    </w:p>
    <w:p w14:paraId="28EF2928" w14:textId="1ECBCC97" w:rsidR="00D871BB" w:rsidRDefault="001B7D9C">
      <w:pPr>
        <w:pStyle w:val="TOC2"/>
        <w:tabs>
          <w:tab w:val="right" w:leader="dot" w:pos="8608"/>
        </w:tabs>
        <w:rPr>
          <w:rFonts w:eastAsiaTheme="minorEastAsia"/>
          <w:noProof/>
          <w:sz w:val="22"/>
          <w:lang w:eastAsia="ja-JP"/>
        </w:rPr>
      </w:pPr>
      <w:hyperlink w:anchor="_Toc71213922" w:history="1">
        <w:r w:rsidR="00D871BB" w:rsidRPr="008626CF">
          <w:rPr>
            <w:rStyle w:val="Hyperlink"/>
            <w:noProof/>
          </w:rPr>
          <w:t>Closure of the Independent Living Fund</w:t>
        </w:r>
        <w:r w:rsidR="00D871BB">
          <w:rPr>
            <w:noProof/>
            <w:webHidden/>
          </w:rPr>
          <w:tab/>
        </w:r>
        <w:r w:rsidR="00D871BB">
          <w:rPr>
            <w:noProof/>
            <w:webHidden/>
          </w:rPr>
          <w:fldChar w:fldCharType="begin"/>
        </w:r>
        <w:r w:rsidR="00D871BB">
          <w:rPr>
            <w:noProof/>
            <w:webHidden/>
          </w:rPr>
          <w:instrText xml:space="preserve"> PAGEREF _Toc71213922 \h </w:instrText>
        </w:r>
        <w:r w:rsidR="00D871BB">
          <w:rPr>
            <w:noProof/>
            <w:webHidden/>
          </w:rPr>
        </w:r>
        <w:r w:rsidR="00D871BB">
          <w:rPr>
            <w:noProof/>
            <w:webHidden/>
          </w:rPr>
          <w:fldChar w:fldCharType="separate"/>
        </w:r>
        <w:r w:rsidR="00D871BB">
          <w:rPr>
            <w:noProof/>
            <w:webHidden/>
          </w:rPr>
          <w:t>23</w:t>
        </w:r>
        <w:r w:rsidR="00D871BB">
          <w:rPr>
            <w:noProof/>
            <w:webHidden/>
          </w:rPr>
          <w:fldChar w:fldCharType="end"/>
        </w:r>
      </w:hyperlink>
    </w:p>
    <w:p w14:paraId="7A0AB3DA" w14:textId="74C6EA8F" w:rsidR="00D871BB" w:rsidRDefault="001B7D9C">
      <w:pPr>
        <w:pStyle w:val="TOC2"/>
        <w:tabs>
          <w:tab w:val="right" w:leader="dot" w:pos="8608"/>
        </w:tabs>
        <w:rPr>
          <w:rFonts w:eastAsiaTheme="minorEastAsia"/>
          <w:noProof/>
          <w:sz w:val="22"/>
          <w:lang w:eastAsia="ja-JP"/>
        </w:rPr>
      </w:pPr>
      <w:hyperlink w:anchor="_Toc71213923" w:history="1">
        <w:r w:rsidR="00D871BB" w:rsidRPr="008626CF">
          <w:rPr>
            <w:rStyle w:val="Hyperlink"/>
            <w:noProof/>
          </w:rPr>
          <w:t>Reduced social care provision during the pandemic</w:t>
        </w:r>
        <w:r w:rsidR="00D871BB">
          <w:rPr>
            <w:noProof/>
            <w:webHidden/>
          </w:rPr>
          <w:tab/>
        </w:r>
        <w:r w:rsidR="00D871BB">
          <w:rPr>
            <w:noProof/>
            <w:webHidden/>
          </w:rPr>
          <w:fldChar w:fldCharType="begin"/>
        </w:r>
        <w:r w:rsidR="00D871BB">
          <w:rPr>
            <w:noProof/>
            <w:webHidden/>
          </w:rPr>
          <w:instrText xml:space="preserve"> PAGEREF _Toc71213923 \h </w:instrText>
        </w:r>
        <w:r w:rsidR="00D871BB">
          <w:rPr>
            <w:noProof/>
            <w:webHidden/>
          </w:rPr>
        </w:r>
        <w:r w:rsidR="00D871BB">
          <w:rPr>
            <w:noProof/>
            <w:webHidden/>
          </w:rPr>
          <w:fldChar w:fldCharType="separate"/>
        </w:r>
        <w:r w:rsidR="00D871BB">
          <w:rPr>
            <w:noProof/>
            <w:webHidden/>
          </w:rPr>
          <w:t>25</w:t>
        </w:r>
        <w:r w:rsidR="00D871BB">
          <w:rPr>
            <w:noProof/>
            <w:webHidden/>
          </w:rPr>
          <w:fldChar w:fldCharType="end"/>
        </w:r>
      </w:hyperlink>
    </w:p>
    <w:p w14:paraId="07A2A79D" w14:textId="0758A86F" w:rsidR="00D871BB" w:rsidRDefault="001B7D9C">
      <w:pPr>
        <w:pStyle w:val="TOC2"/>
        <w:tabs>
          <w:tab w:val="right" w:leader="dot" w:pos="8608"/>
        </w:tabs>
        <w:rPr>
          <w:rFonts w:eastAsiaTheme="minorEastAsia"/>
          <w:noProof/>
          <w:sz w:val="22"/>
          <w:lang w:eastAsia="ja-JP"/>
        </w:rPr>
      </w:pPr>
      <w:hyperlink w:anchor="_Toc71213924" w:history="1">
        <w:r w:rsidR="00D871BB" w:rsidRPr="008626CF">
          <w:rPr>
            <w:rStyle w:val="Hyperlink"/>
            <w:noProof/>
          </w:rPr>
          <w:t>Equality and human rights in care settings</w:t>
        </w:r>
        <w:r w:rsidR="00D871BB">
          <w:rPr>
            <w:noProof/>
            <w:webHidden/>
          </w:rPr>
          <w:tab/>
        </w:r>
        <w:r w:rsidR="00D871BB">
          <w:rPr>
            <w:noProof/>
            <w:webHidden/>
          </w:rPr>
          <w:fldChar w:fldCharType="begin"/>
        </w:r>
        <w:r w:rsidR="00D871BB">
          <w:rPr>
            <w:noProof/>
            <w:webHidden/>
          </w:rPr>
          <w:instrText xml:space="preserve"> PAGEREF _Toc71213924 \h </w:instrText>
        </w:r>
        <w:r w:rsidR="00D871BB">
          <w:rPr>
            <w:noProof/>
            <w:webHidden/>
          </w:rPr>
        </w:r>
        <w:r w:rsidR="00D871BB">
          <w:rPr>
            <w:noProof/>
            <w:webHidden/>
          </w:rPr>
          <w:fldChar w:fldCharType="separate"/>
        </w:r>
        <w:r w:rsidR="00D871BB">
          <w:rPr>
            <w:noProof/>
            <w:webHidden/>
          </w:rPr>
          <w:t>27</w:t>
        </w:r>
        <w:r w:rsidR="00D871BB">
          <w:rPr>
            <w:noProof/>
            <w:webHidden/>
          </w:rPr>
          <w:fldChar w:fldCharType="end"/>
        </w:r>
      </w:hyperlink>
    </w:p>
    <w:p w14:paraId="0604D76E" w14:textId="2E97D476" w:rsidR="00D871BB" w:rsidRDefault="001B7D9C">
      <w:pPr>
        <w:pStyle w:val="TOC1"/>
        <w:tabs>
          <w:tab w:val="right" w:leader="dot" w:pos="8608"/>
        </w:tabs>
        <w:rPr>
          <w:rFonts w:eastAsiaTheme="minorEastAsia"/>
          <w:b w:val="0"/>
          <w:noProof/>
          <w:sz w:val="22"/>
          <w:lang w:eastAsia="ja-JP"/>
        </w:rPr>
      </w:pPr>
      <w:hyperlink w:anchor="_Toc71213925" w:history="1">
        <w:r w:rsidR="00D871BB" w:rsidRPr="008626CF">
          <w:rPr>
            <w:rStyle w:val="Hyperlink"/>
            <w:noProof/>
          </w:rPr>
          <w:t>Equal participation in society</w:t>
        </w:r>
        <w:r w:rsidR="00D871BB">
          <w:rPr>
            <w:noProof/>
            <w:webHidden/>
          </w:rPr>
          <w:tab/>
        </w:r>
        <w:r w:rsidR="00D871BB">
          <w:rPr>
            <w:noProof/>
            <w:webHidden/>
          </w:rPr>
          <w:fldChar w:fldCharType="begin"/>
        </w:r>
        <w:r w:rsidR="00D871BB">
          <w:rPr>
            <w:noProof/>
            <w:webHidden/>
          </w:rPr>
          <w:instrText xml:space="preserve"> PAGEREF _Toc71213925 \h </w:instrText>
        </w:r>
        <w:r w:rsidR="00D871BB">
          <w:rPr>
            <w:noProof/>
            <w:webHidden/>
          </w:rPr>
        </w:r>
        <w:r w:rsidR="00D871BB">
          <w:rPr>
            <w:noProof/>
            <w:webHidden/>
          </w:rPr>
          <w:fldChar w:fldCharType="separate"/>
        </w:r>
        <w:r w:rsidR="00D871BB">
          <w:rPr>
            <w:noProof/>
            <w:webHidden/>
          </w:rPr>
          <w:t>30</w:t>
        </w:r>
        <w:r w:rsidR="00D871BB">
          <w:rPr>
            <w:noProof/>
            <w:webHidden/>
          </w:rPr>
          <w:fldChar w:fldCharType="end"/>
        </w:r>
      </w:hyperlink>
    </w:p>
    <w:p w14:paraId="02C93C94" w14:textId="53B24548" w:rsidR="00D871BB" w:rsidRDefault="001B7D9C">
      <w:pPr>
        <w:pStyle w:val="TOC2"/>
        <w:tabs>
          <w:tab w:val="right" w:leader="dot" w:pos="8608"/>
        </w:tabs>
        <w:rPr>
          <w:rFonts w:eastAsiaTheme="minorEastAsia"/>
          <w:noProof/>
          <w:sz w:val="22"/>
          <w:lang w:eastAsia="ja-JP"/>
        </w:rPr>
      </w:pPr>
      <w:hyperlink w:anchor="_Toc71213926" w:history="1">
        <w:r w:rsidR="00D871BB" w:rsidRPr="008626CF">
          <w:rPr>
            <w:rStyle w:val="Hyperlink"/>
            <w:noProof/>
          </w:rPr>
          <w:t>Inclusive education</w:t>
        </w:r>
        <w:r w:rsidR="00D871BB">
          <w:rPr>
            <w:noProof/>
            <w:webHidden/>
          </w:rPr>
          <w:tab/>
        </w:r>
        <w:r w:rsidR="00D871BB">
          <w:rPr>
            <w:noProof/>
            <w:webHidden/>
          </w:rPr>
          <w:fldChar w:fldCharType="begin"/>
        </w:r>
        <w:r w:rsidR="00D871BB">
          <w:rPr>
            <w:noProof/>
            <w:webHidden/>
          </w:rPr>
          <w:instrText xml:space="preserve"> PAGEREF _Toc71213926 \h </w:instrText>
        </w:r>
        <w:r w:rsidR="00D871BB">
          <w:rPr>
            <w:noProof/>
            <w:webHidden/>
          </w:rPr>
        </w:r>
        <w:r w:rsidR="00D871BB">
          <w:rPr>
            <w:noProof/>
            <w:webHidden/>
          </w:rPr>
          <w:fldChar w:fldCharType="separate"/>
        </w:r>
        <w:r w:rsidR="00D871BB">
          <w:rPr>
            <w:noProof/>
            <w:webHidden/>
          </w:rPr>
          <w:t>31</w:t>
        </w:r>
        <w:r w:rsidR="00D871BB">
          <w:rPr>
            <w:noProof/>
            <w:webHidden/>
          </w:rPr>
          <w:fldChar w:fldCharType="end"/>
        </w:r>
      </w:hyperlink>
    </w:p>
    <w:p w14:paraId="7D25B448" w14:textId="7A755746" w:rsidR="00D871BB" w:rsidRDefault="001B7D9C">
      <w:pPr>
        <w:pStyle w:val="TOC2"/>
        <w:tabs>
          <w:tab w:val="right" w:leader="dot" w:pos="8608"/>
        </w:tabs>
        <w:rPr>
          <w:rFonts w:eastAsiaTheme="minorEastAsia"/>
          <w:noProof/>
          <w:sz w:val="22"/>
          <w:lang w:eastAsia="ja-JP"/>
        </w:rPr>
      </w:pPr>
      <w:hyperlink w:anchor="_Toc71213927" w:history="1">
        <w:r w:rsidR="00D871BB" w:rsidRPr="008626CF">
          <w:rPr>
            <w:rStyle w:val="Hyperlink"/>
            <w:noProof/>
            <w:shd w:val="clear" w:color="auto" w:fill="FFFFFF"/>
          </w:rPr>
          <w:t>Equal access to employment</w:t>
        </w:r>
        <w:r w:rsidR="00D871BB">
          <w:rPr>
            <w:noProof/>
            <w:webHidden/>
          </w:rPr>
          <w:tab/>
        </w:r>
        <w:r w:rsidR="00D871BB">
          <w:rPr>
            <w:noProof/>
            <w:webHidden/>
          </w:rPr>
          <w:fldChar w:fldCharType="begin"/>
        </w:r>
        <w:r w:rsidR="00D871BB">
          <w:rPr>
            <w:noProof/>
            <w:webHidden/>
          </w:rPr>
          <w:instrText xml:space="preserve"> PAGEREF _Toc71213927 \h </w:instrText>
        </w:r>
        <w:r w:rsidR="00D871BB">
          <w:rPr>
            <w:noProof/>
            <w:webHidden/>
          </w:rPr>
        </w:r>
        <w:r w:rsidR="00D871BB">
          <w:rPr>
            <w:noProof/>
            <w:webHidden/>
          </w:rPr>
          <w:fldChar w:fldCharType="separate"/>
        </w:r>
        <w:r w:rsidR="00D871BB">
          <w:rPr>
            <w:noProof/>
            <w:webHidden/>
          </w:rPr>
          <w:t>36</w:t>
        </w:r>
        <w:r w:rsidR="00D871BB">
          <w:rPr>
            <w:noProof/>
            <w:webHidden/>
          </w:rPr>
          <w:fldChar w:fldCharType="end"/>
        </w:r>
      </w:hyperlink>
    </w:p>
    <w:p w14:paraId="2A82290B" w14:textId="624D3554" w:rsidR="00D871BB" w:rsidRDefault="001B7D9C">
      <w:pPr>
        <w:pStyle w:val="TOC2"/>
        <w:tabs>
          <w:tab w:val="right" w:leader="dot" w:pos="8608"/>
        </w:tabs>
        <w:rPr>
          <w:rFonts w:eastAsiaTheme="minorEastAsia"/>
          <w:noProof/>
          <w:sz w:val="22"/>
          <w:lang w:eastAsia="ja-JP"/>
        </w:rPr>
      </w:pPr>
      <w:hyperlink w:anchor="_Toc71213928" w:history="1">
        <w:r w:rsidR="00D871BB" w:rsidRPr="008626CF">
          <w:rPr>
            <w:rStyle w:val="Hyperlink"/>
            <w:noProof/>
            <w:shd w:val="clear" w:color="auto" w:fill="FFFFFF"/>
          </w:rPr>
          <w:t>Adequate standard of living and social protection</w:t>
        </w:r>
        <w:r w:rsidR="00D871BB">
          <w:rPr>
            <w:noProof/>
            <w:webHidden/>
          </w:rPr>
          <w:tab/>
        </w:r>
        <w:r w:rsidR="00D871BB">
          <w:rPr>
            <w:noProof/>
            <w:webHidden/>
          </w:rPr>
          <w:fldChar w:fldCharType="begin"/>
        </w:r>
        <w:r w:rsidR="00D871BB">
          <w:rPr>
            <w:noProof/>
            <w:webHidden/>
          </w:rPr>
          <w:instrText xml:space="preserve"> PAGEREF _Toc71213928 \h </w:instrText>
        </w:r>
        <w:r w:rsidR="00D871BB">
          <w:rPr>
            <w:noProof/>
            <w:webHidden/>
          </w:rPr>
        </w:r>
        <w:r w:rsidR="00D871BB">
          <w:rPr>
            <w:noProof/>
            <w:webHidden/>
          </w:rPr>
          <w:fldChar w:fldCharType="separate"/>
        </w:r>
        <w:r w:rsidR="00D871BB">
          <w:rPr>
            <w:noProof/>
            <w:webHidden/>
          </w:rPr>
          <w:t>38</w:t>
        </w:r>
        <w:r w:rsidR="00D871BB">
          <w:rPr>
            <w:noProof/>
            <w:webHidden/>
          </w:rPr>
          <w:fldChar w:fldCharType="end"/>
        </w:r>
      </w:hyperlink>
    </w:p>
    <w:p w14:paraId="5E6D515A" w14:textId="68D9A48E" w:rsidR="00D871BB" w:rsidRDefault="001B7D9C">
      <w:pPr>
        <w:pStyle w:val="TOC2"/>
        <w:tabs>
          <w:tab w:val="right" w:leader="dot" w:pos="8608"/>
        </w:tabs>
        <w:rPr>
          <w:rFonts w:eastAsiaTheme="minorEastAsia"/>
          <w:noProof/>
          <w:sz w:val="22"/>
          <w:lang w:eastAsia="ja-JP"/>
        </w:rPr>
      </w:pPr>
      <w:hyperlink w:anchor="_Toc71213929" w:history="1">
        <w:r w:rsidR="00D871BB" w:rsidRPr="008626CF">
          <w:rPr>
            <w:rStyle w:val="Hyperlink"/>
            <w:noProof/>
          </w:rPr>
          <w:t>Accessible housing</w:t>
        </w:r>
        <w:r w:rsidR="00D871BB">
          <w:rPr>
            <w:noProof/>
            <w:webHidden/>
          </w:rPr>
          <w:tab/>
        </w:r>
        <w:r w:rsidR="00D871BB">
          <w:rPr>
            <w:noProof/>
            <w:webHidden/>
          </w:rPr>
          <w:fldChar w:fldCharType="begin"/>
        </w:r>
        <w:r w:rsidR="00D871BB">
          <w:rPr>
            <w:noProof/>
            <w:webHidden/>
          </w:rPr>
          <w:instrText xml:space="preserve"> PAGEREF _Toc71213929 \h </w:instrText>
        </w:r>
        <w:r w:rsidR="00D871BB">
          <w:rPr>
            <w:noProof/>
            <w:webHidden/>
          </w:rPr>
        </w:r>
        <w:r w:rsidR="00D871BB">
          <w:rPr>
            <w:noProof/>
            <w:webHidden/>
          </w:rPr>
          <w:fldChar w:fldCharType="separate"/>
        </w:r>
        <w:r w:rsidR="00D871BB">
          <w:rPr>
            <w:noProof/>
            <w:webHidden/>
          </w:rPr>
          <w:t>41</w:t>
        </w:r>
        <w:r w:rsidR="00D871BB">
          <w:rPr>
            <w:noProof/>
            <w:webHidden/>
          </w:rPr>
          <w:fldChar w:fldCharType="end"/>
        </w:r>
      </w:hyperlink>
    </w:p>
    <w:p w14:paraId="22D6D90A" w14:textId="321E5FF8" w:rsidR="00D871BB" w:rsidRDefault="001B7D9C">
      <w:pPr>
        <w:pStyle w:val="TOC2"/>
        <w:tabs>
          <w:tab w:val="right" w:leader="dot" w:pos="8608"/>
        </w:tabs>
        <w:rPr>
          <w:rFonts w:eastAsiaTheme="minorEastAsia"/>
          <w:noProof/>
          <w:sz w:val="22"/>
          <w:lang w:eastAsia="ja-JP"/>
        </w:rPr>
      </w:pPr>
      <w:hyperlink w:anchor="_Toc71213930" w:history="1">
        <w:r w:rsidR="00D871BB" w:rsidRPr="008626CF">
          <w:rPr>
            <w:rStyle w:val="Hyperlink"/>
            <w:noProof/>
          </w:rPr>
          <w:t>Accessible transport</w:t>
        </w:r>
        <w:r w:rsidR="00D871BB">
          <w:rPr>
            <w:noProof/>
            <w:webHidden/>
          </w:rPr>
          <w:tab/>
        </w:r>
        <w:r w:rsidR="00D871BB">
          <w:rPr>
            <w:noProof/>
            <w:webHidden/>
          </w:rPr>
          <w:fldChar w:fldCharType="begin"/>
        </w:r>
        <w:r w:rsidR="00D871BB">
          <w:rPr>
            <w:noProof/>
            <w:webHidden/>
          </w:rPr>
          <w:instrText xml:space="preserve"> PAGEREF _Toc71213930 \h </w:instrText>
        </w:r>
        <w:r w:rsidR="00D871BB">
          <w:rPr>
            <w:noProof/>
            <w:webHidden/>
          </w:rPr>
        </w:r>
        <w:r w:rsidR="00D871BB">
          <w:rPr>
            <w:noProof/>
            <w:webHidden/>
          </w:rPr>
          <w:fldChar w:fldCharType="separate"/>
        </w:r>
        <w:r w:rsidR="00D871BB">
          <w:rPr>
            <w:noProof/>
            <w:webHidden/>
          </w:rPr>
          <w:t>42</w:t>
        </w:r>
        <w:r w:rsidR="00D871BB">
          <w:rPr>
            <w:noProof/>
            <w:webHidden/>
          </w:rPr>
          <w:fldChar w:fldCharType="end"/>
        </w:r>
      </w:hyperlink>
    </w:p>
    <w:p w14:paraId="27512B54" w14:textId="70B6D82C" w:rsidR="00D871BB" w:rsidRDefault="001B7D9C">
      <w:pPr>
        <w:pStyle w:val="TOC1"/>
        <w:tabs>
          <w:tab w:val="right" w:leader="dot" w:pos="8608"/>
        </w:tabs>
        <w:rPr>
          <w:rFonts w:eastAsiaTheme="minorEastAsia"/>
          <w:b w:val="0"/>
          <w:noProof/>
          <w:sz w:val="22"/>
          <w:lang w:eastAsia="ja-JP"/>
        </w:rPr>
      </w:pPr>
      <w:hyperlink w:anchor="_Toc71213931" w:history="1">
        <w:r w:rsidR="00D871BB" w:rsidRPr="008626CF">
          <w:rPr>
            <w:rStyle w:val="Hyperlink"/>
            <w:noProof/>
          </w:rPr>
          <w:t>Conclusion</w:t>
        </w:r>
        <w:r w:rsidR="00D871BB">
          <w:rPr>
            <w:noProof/>
            <w:webHidden/>
          </w:rPr>
          <w:tab/>
        </w:r>
        <w:r w:rsidR="00D871BB">
          <w:rPr>
            <w:noProof/>
            <w:webHidden/>
          </w:rPr>
          <w:fldChar w:fldCharType="begin"/>
        </w:r>
        <w:r w:rsidR="00D871BB">
          <w:rPr>
            <w:noProof/>
            <w:webHidden/>
          </w:rPr>
          <w:instrText xml:space="preserve"> PAGEREF _Toc71213931 \h </w:instrText>
        </w:r>
        <w:r w:rsidR="00D871BB">
          <w:rPr>
            <w:noProof/>
            <w:webHidden/>
          </w:rPr>
        </w:r>
        <w:r w:rsidR="00D871BB">
          <w:rPr>
            <w:noProof/>
            <w:webHidden/>
          </w:rPr>
          <w:fldChar w:fldCharType="separate"/>
        </w:r>
        <w:r w:rsidR="00D871BB">
          <w:rPr>
            <w:noProof/>
            <w:webHidden/>
          </w:rPr>
          <w:t>47</w:t>
        </w:r>
        <w:r w:rsidR="00D871BB">
          <w:rPr>
            <w:noProof/>
            <w:webHidden/>
          </w:rPr>
          <w:fldChar w:fldCharType="end"/>
        </w:r>
      </w:hyperlink>
    </w:p>
    <w:p w14:paraId="6FF7EF0F" w14:textId="6614653C" w:rsidR="00D871BB" w:rsidRDefault="001B7D9C">
      <w:pPr>
        <w:pStyle w:val="TOC1"/>
        <w:tabs>
          <w:tab w:val="right" w:leader="dot" w:pos="8608"/>
        </w:tabs>
        <w:rPr>
          <w:rFonts w:eastAsiaTheme="minorEastAsia"/>
          <w:b w:val="0"/>
          <w:noProof/>
          <w:sz w:val="22"/>
          <w:lang w:eastAsia="ja-JP"/>
        </w:rPr>
      </w:pPr>
      <w:hyperlink w:anchor="_Toc71213932" w:history="1">
        <w:r w:rsidR="00D871BB" w:rsidRPr="008626CF">
          <w:rPr>
            <w:rStyle w:val="Hyperlink"/>
            <w:noProof/>
          </w:rPr>
          <w:t>Appendix</w:t>
        </w:r>
        <w:r w:rsidR="00D871BB">
          <w:rPr>
            <w:noProof/>
            <w:webHidden/>
          </w:rPr>
          <w:tab/>
        </w:r>
        <w:r w:rsidR="00D871BB">
          <w:rPr>
            <w:noProof/>
            <w:webHidden/>
          </w:rPr>
          <w:fldChar w:fldCharType="begin"/>
        </w:r>
        <w:r w:rsidR="00D871BB">
          <w:rPr>
            <w:noProof/>
            <w:webHidden/>
          </w:rPr>
          <w:instrText xml:space="preserve"> PAGEREF _Toc71213932 \h </w:instrText>
        </w:r>
        <w:r w:rsidR="00D871BB">
          <w:rPr>
            <w:noProof/>
            <w:webHidden/>
          </w:rPr>
        </w:r>
        <w:r w:rsidR="00D871BB">
          <w:rPr>
            <w:noProof/>
            <w:webHidden/>
          </w:rPr>
          <w:fldChar w:fldCharType="separate"/>
        </w:r>
        <w:r w:rsidR="00D871BB">
          <w:rPr>
            <w:noProof/>
            <w:webHidden/>
          </w:rPr>
          <w:t>48</w:t>
        </w:r>
        <w:r w:rsidR="00D871BB">
          <w:rPr>
            <w:noProof/>
            <w:webHidden/>
          </w:rPr>
          <w:fldChar w:fldCharType="end"/>
        </w:r>
      </w:hyperlink>
    </w:p>
    <w:p w14:paraId="159AFF79" w14:textId="7E05100B" w:rsidR="00D871BB" w:rsidRDefault="001B7D9C">
      <w:pPr>
        <w:pStyle w:val="TOC2"/>
        <w:tabs>
          <w:tab w:val="right" w:leader="dot" w:pos="8608"/>
        </w:tabs>
        <w:rPr>
          <w:rFonts w:eastAsiaTheme="minorEastAsia"/>
          <w:noProof/>
          <w:sz w:val="22"/>
          <w:lang w:eastAsia="ja-JP"/>
        </w:rPr>
      </w:pPr>
      <w:hyperlink w:anchor="_Toc71213933" w:history="1">
        <w:r w:rsidR="00D871BB" w:rsidRPr="008626CF">
          <w:rPr>
            <w:rStyle w:val="Hyperlink"/>
            <w:noProof/>
          </w:rPr>
          <w:t>Elements of a proposed model for incorporating the right to independent living</w:t>
        </w:r>
        <w:r w:rsidR="00D871BB">
          <w:rPr>
            <w:noProof/>
            <w:webHidden/>
          </w:rPr>
          <w:tab/>
        </w:r>
        <w:r w:rsidR="00D871BB">
          <w:rPr>
            <w:noProof/>
            <w:webHidden/>
          </w:rPr>
          <w:fldChar w:fldCharType="begin"/>
        </w:r>
        <w:r w:rsidR="00D871BB">
          <w:rPr>
            <w:noProof/>
            <w:webHidden/>
          </w:rPr>
          <w:instrText xml:space="preserve"> PAGEREF _Toc71213933 \h </w:instrText>
        </w:r>
        <w:r w:rsidR="00D871BB">
          <w:rPr>
            <w:noProof/>
            <w:webHidden/>
          </w:rPr>
        </w:r>
        <w:r w:rsidR="00D871BB">
          <w:rPr>
            <w:noProof/>
            <w:webHidden/>
          </w:rPr>
          <w:fldChar w:fldCharType="separate"/>
        </w:r>
        <w:r w:rsidR="00D871BB">
          <w:rPr>
            <w:noProof/>
            <w:webHidden/>
          </w:rPr>
          <w:t>49</w:t>
        </w:r>
        <w:r w:rsidR="00D871BB">
          <w:rPr>
            <w:noProof/>
            <w:webHidden/>
          </w:rPr>
          <w:fldChar w:fldCharType="end"/>
        </w:r>
      </w:hyperlink>
    </w:p>
    <w:p w14:paraId="76478385" w14:textId="750E65A7" w:rsidR="00D871BB" w:rsidRDefault="001B7D9C">
      <w:pPr>
        <w:pStyle w:val="TOC1"/>
        <w:tabs>
          <w:tab w:val="right" w:leader="dot" w:pos="8608"/>
        </w:tabs>
        <w:rPr>
          <w:rFonts w:eastAsiaTheme="minorEastAsia"/>
          <w:b w:val="0"/>
          <w:noProof/>
          <w:sz w:val="22"/>
          <w:lang w:eastAsia="ja-JP"/>
        </w:rPr>
      </w:pPr>
      <w:hyperlink w:anchor="_Toc71213934" w:history="1">
        <w:r w:rsidR="00D871BB" w:rsidRPr="008626CF">
          <w:rPr>
            <w:rStyle w:val="Hyperlink"/>
            <w:noProof/>
          </w:rPr>
          <w:t>Contacts</w:t>
        </w:r>
        <w:r w:rsidR="00D871BB">
          <w:rPr>
            <w:noProof/>
            <w:webHidden/>
          </w:rPr>
          <w:tab/>
        </w:r>
        <w:r w:rsidR="00D871BB">
          <w:rPr>
            <w:noProof/>
            <w:webHidden/>
          </w:rPr>
          <w:fldChar w:fldCharType="begin"/>
        </w:r>
        <w:r w:rsidR="00D871BB">
          <w:rPr>
            <w:noProof/>
            <w:webHidden/>
          </w:rPr>
          <w:instrText xml:space="preserve"> PAGEREF _Toc71213934 \h </w:instrText>
        </w:r>
        <w:r w:rsidR="00D871BB">
          <w:rPr>
            <w:noProof/>
            <w:webHidden/>
          </w:rPr>
        </w:r>
        <w:r w:rsidR="00D871BB">
          <w:rPr>
            <w:noProof/>
            <w:webHidden/>
          </w:rPr>
          <w:fldChar w:fldCharType="separate"/>
        </w:r>
        <w:r w:rsidR="00D871BB">
          <w:rPr>
            <w:noProof/>
            <w:webHidden/>
          </w:rPr>
          <w:t>56</w:t>
        </w:r>
        <w:r w:rsidR="00D871BB">
          <w:rPr>
            <w:noProof/>
            <w:webHidden/>
          </w:rPr>
          <w:fldChar w:fldCharType="end"/>
        </w:r>
      </w:hyperlink>
    </w:p>
    <w:p w14:paraId="308D78DB" w14:textId="55C123C2" w:rsidR="00D871BB" w:rsidRDefault="001B7D9C">
      <w:pPr>
        <w:pStyle w:val="TOC2"/>
        <w:tabs>
          <w:tab w:val="right" w:leader="dot" w:pos="8608"/>
        </w:tabs>
        <w:rPr>
          <w:rFonts w:eastAsiaTheme="minorEastAsia"/>
          <w:noProof/>
          <w:sz w:val="22"/>
          <w:lang w:eastAsia="ja-JP"/>
        </w:rPr>
      </w:pPr>
      <w:hyperlink w:anchor="_Toc71213935" w:history="1">
        <w:r w:rsidR="00D871BB" w:rsidRPr="008626CF">
          <w:rPr>
            <w:rStyle w:val="Hyperlink"/>
            <w:noProof/>
          </w:rPr>
          <w:t>EASS</w:t>
        </w:r>
        <w:r w:rsidR="00D871BB">
          <w:rPr>
            <w:noProof/>
            <w:webHidden/>
          </w:rPr>
          <w:tab/>
        </w:r>
        <w:r w:rsidR="00D871BB">
          <w:rPr>
            <w:noProof/>
            <w:webHidden/>
          </w:rPr>
          <w:fldChar w:fldCharType="begin"/>
        </w:r>
        <w:r w:rsidR="00D871BB">
          <w:rPr>
            <w:noProof/>
            <w:webHidden/>
          </w:rPr>
          <w:instrText xml:space="preserve"> PAGEREF _Toc71213935 \h </w:instrText>
        </w:r>
        <w:r w:rsidR="00D871BB">
          <w:rPr>
            <w:noProof/>
            <w:webHidden/>
          </w:rPr>
        </w:r>
        <w:r w:rsidR="00D871BB">
          <w:rPr>
            <w:noProof/>
            <w:webHidden/>
          </w:rPr>
          <w:fldChar w:fldCharType="separate"/>
        </w:r>
        <w:r w:rsidR="00D871BB">
          <w:rPr>
            <w:noProof/>
            <w:webHidden/>
          </w:rPr>
          <w:t>56</w:t>
        </w:r>
        <w:r w:rsidR="00D871BB">
          <w:rPr>
            <w:noProof/>
            <w:webHidden/>
          </w:rPr>
          <w:fldChar w:fldCharType="end"/>
        </w:r>
      </w:hyperlink>
    </w:p>
    <w:p w14:paraId="501EC0EE" w14:textId="43F50E3D" w:rsidR="00B277C1" w:rsidRDefault="00C50BF9" w:rsidP="00AB3E4E">
      <w:pPr>
        <w:pStyle w:val="TOC1"/>
        <w:tabs>
          <w:tab w:val="right" w:leader="dot" w:pos="8608"/>
        </w:tabs>
        <w:rPr>
          <w:rStyle w:val="Howtousethistemplate"/>
        </w:rPr>
      </w:pPr>
      <w:r>
        <w:fldChar w:fldCharType="end"/>
      </w:r>
      <w:bookmarkStart w:id="0" w:name="_GoBack"/>
      <w:bookmarkEnd w:id="0"/>
    </w:p>
    <w:p w14:paraId="46DC5229" w14:textId="77777777" w:rsidR="00B02B52" w:rsidRPr="00A82FF5" w:rsidRDefault="00AB3E4E" w:rsidP="00A82FF5">
      <w:pPr>
        <w:pStyle w:val="Heading1"/>
      </w:pPr>
      <w:bookmarkStart w:id="1" w:name="_Toc71213909"/>
      <w:r>
        <w:lastRenderedPageBreak/>
        <w:t>Introduction and executive summary</w:t>
      </w:r>
      <w:bookmarkEnd w:id="1"/>
    </w:p>
    <w:p w14:paraId="0D48D7B9" w14:textId="77777777" w:rsidR="00B02B52" w:rsidRDefault="00AB3E4E" w:rsidP="00A82FF5">
      <w:pPr>
        <w:pStyle w:val="Heading2"/>
      </w:pPr>
      <w:bookmarkStart w:id="2" w:name="_Toc66343439"/>
      <w:bookmarkStart w:id="3" w:name="_Toc71213910"/>
      <w:r>
        <w:t>About us</w:t>
      </w:r>
      <w:bookmarkEnd w:id="2"/>
      <w:bookmarkEnd w:id="3"/>
    </w:p>
    <w:p w14:paraId="43036561" w14:textId="77777777" w:rsidR="00770C6F" w:rsidRDefault="00770C6F" w:rsidP="006C1E0B">
      <w:pPr>
        <w:pStyle w:val="ListNumber"/>
        <w:numPr>
          <w:ilvl w:val="0"/>
          <w:numId w:val="0"/>
        </w:numPr>
        <w:ind w:left="567" w:hanging="567"/>
      </w:pPr>
      <w:bookmarkStart w:id="4" w:name="_Hlk66430005"/>
    </w:p>
    <w:p w14:paraId="3E888C1B" w14:textId="0658D13C" w:rsidR="006666F4" w:rsidRDefault="006666F4" w:rsidP="006C1E0B">
      <w:pPr>
        <w:pStyle w:val="ListNumber"/>
        <w:numPr>
          <w:ilvl w:val="0"/>
          <w:numId w:val="0"/>
        </w:numPr>
      </w:pPr>
      <w:r w:rsidRPr="006666F4">
        <w:t xml:space="preserve">The Equality and Human Rights Commission </w:t>
      </w:r>
      <w:r w:rsidR="00853130">
        <w:t xml:space="preserve">(EHRC) </w:t>
      </w:r>
      <w:r w:rsidRPr="006666F4">
        <w:t xml:space="preserve">is </w:t>
      </w:r>
      <w:r w:rsidR="00892558">
        <w:t xml:space="preserve">Great </w:t>
      </w:r>
      <w:r w:rsidRPr="006666F4">
        <w:t xml:space="preserve">Britain’s national equality body and accredited by the United Nations as an ‘A status’ national human rights institution. We operate independently as a statutory public body established under the Equality Act 2006. We have been given powers by </w:t>
      </w:r>
      <w:r w:rsidR="00090682">
        <w:t>p</w:t>
      </w:r>
      <w:r w:rsidRPr="006666F4">
        <w:t xml:space="preserve">arliament to advise </w:t>
      </w:r>
      <w:r w:rsidR="00090682">
        <w:t>g</w:t>
      </w:r>
      <w:r w:rsidRPr="006666F4">
        <w:t xml:space="preserve">overnment on the equality and human rights implications of laws and proposed laws, and to publish information or provide advice on any matter related to equality, diversity and human rights. Find out more about our work on </w:t>
      </w:r>
      <w:hyperlink r:id="rId11" w:history="1">
        <w:r w:rsidRPr="006666F4">
          <w:rPr>
            <w:rStyle w:val="Hyperlink"/>
          </w:rPr>
          <w:t>our website</w:t>
        </w:r>
      </w:hyperlink>
      <w:r w:rsidRPr="006666F4">
        <w:t>.</w:t>
      </w:r>
    </w:p>
    <w:p w14:paraId="1773AE9E" w14:textId="77777777" w:rsidR="00AB3E4E" w:rsidRDefault="00AB3E4E" w:rsidP="00AB3E4E">
      <w:pPr>
        <w:pStyle w:val="Heading2"/>
      </w:pPr>
      <w:bookmarkStart w:id="5" w:name="_Toc66343440"/>
      <w:bookmarkStart w:id="6" w:name="_Toc71213911"/>
      <w:bookmarkEnd w:id="4"/>
      <w:r>
        <w:t>Executive summary</w:t>
      </w:r>
      <w:bookmarkEnd w:id="5"/>
      <w:bookmarkEnd w:id="6"/>
    </w:p>
    <w:p w14:paraId="4409B2B4" w14:textId="77777777" w:rsidR="00770C6F" w:rsidRDefault="00770C6F" w:rsidP="006C1E0B">
      <w:pPr>
        <w:pStyle w:val="ListNumber"/>
        <w:numPr>
          <w:ilvl w:val="0"/>
          <w:numId w:val="0"/>
        </w:numPr>
        <w:ind w:left="567" w:hanging="567"/>
      </w:pPr>
    </w:p>
    <w:p w14:paraId="4BFEAFD3" w14:textId="1C561F89" w:rsidR="004E5FC2" w:rsidRDefault="006666F4" w:rsidP="006C1E0B">
      <w:pPr>
        <w:pStyle w:val="ListNumber"/>
        <w:numPr>
          <w:ilvl w:val="0"/>
          <w:numId w:val="0"/>
        </w:numPr>
      </w:pPr>
      <w:r w:rsidRPr="006666F4">
        <w:t>The right to live independently as part of the community is enshrined in Article 19 of the U</w:t>
      </w:r>
      <w:r w:rsidR="0096740E">
        <w:t xml:space="preserve">nited </w:t>
      </w:r>
      <w:r w:rsidRPr="006666F4">
        <w:t>N</w:t>
      </w:r>
      <w:r w:rsidR="0096740E">
        <w:t>ations (UN)</w:t>
      </w:r>
      <w:r w:rsidRPr="006666F4">
        <w:t xml:space="preserve"> Convention on the Rights of Persons with Disabilities</w:t>
      </w:r>
      <w:r w:rsidR="00686D97">
        <w:t xml:space="preserve"> (CRPD)</w:t>
      </w:r>
      <w:r w:rsidRPr="006666F4">
        <w:t>. At its heart, it is about ensuring disabled people have the same choice and control over their lives as others, with equal value and dignity. It is integral to disabled people’s enjoyment of their full range of human rights.</w:t>
      </w:r>
    </w:p>
    <w:p w14:paraId="04AC15FC" w14:textId="77777777" w:rsidR="006666F4" w:rsidRPr="006666F4" w:rsidRDefault="006666F4" w:rsidP="004E5FC2">
      <w:pPr>
        <w:pStyle w:val="ListNumber"/>
        <w:numPr>
          <w:ilvl w:val="0"/>
          <w:numId w:val="0"/>
        </w:numPr>
        <w:ind w:left="567"/>
      </w:pPr>
      <w:r w:rsidRPr="006666F4">
        <w:t xml:space="preserve">  </w:t>
      </w:r>
    </w:p>
    <w:p w14:paraId="58D42057" w14:textId="7F97DD0B" w:rsidR="006666F4" w:rsidRPr="000A4071" w:rsidRDefault="006666F4" w:rsidP="006C1E0B">
      <w:pPr>
        <w:pStyle w:val="ListNumber"/>
        <w:numPr>
          <w:ilvl w:val="0"/>
          <w:numId w:val="0"/>
        </w:numPr>
      </w:pPr>
      <w:r w:rsidRPr="000A4071">
        <w:t>Th</w:t>
      </w:r>
      <w:r>
        <w:t>is</w:t>
      </w:r>
      <w:r w:rsidRPr="000A4071">
        <w:t xml:space="preserve"> right to independent living is binding under international law and the </w:t>
      </w:r>
      <w:r>
        <w:t xml:space="preserve">UK </w:t>
      </w:r>
      <w:r w:rsidRPr="000A4071">
        <w:t xml:space="preserve">Government is expected to reflect its requirements in laws, policy and guidance. </w:t>
      </w:r>
      <w:r>
        <w:t>However, the right</w:t>
      </w:r>
      <w:r w:rsidRPr="000A4071">
        <w:t xml:space="preserve"> has not been </w:t>
      </w:r>
      <w:r>
        <w:t xml:space="preserve">fully </w:t>
      </w:r>
      <w:r w:rsidRPr="000A4071">
        <w:t xml:space="preserve">incorporated into domestic law, </w:t>
      </w:r>
      <w:r>
        <w:t>meaning that</w:t>
      </w:r>
      <w:r w:rsidRPr="000A4071">
        <w:t xml:space="preserve"> disabled people have no redress in the UK courts if it is breached. In our view, the absence of effective legal protection for the right to independent living significantly limits disabled people’s full and equal participation in society. </w:t>
      </w:r>
    </w:p>
    <w:p w14:paraId="2BD20B99" w14:textId="4F156386" w:rsidR="00770C6F" w:rsidRDefault="00770C6F" w:rsidP="006C1E0B">
      <w:pPr>
        <w:pStyle w:val="ListNumber"/>
        <w:numPr>
          <w:ilvl w:val="0"/>
          <w:numId w:val="0"/>
        </w:numPr>
      </w:pPr>
    </w:p>
    <w:p w14:paraId="5CE9817F" w14:textId="42C572CD" w:rsidR="004E5FC2" w:rsidRDefault="004E5FC2" w:rsidP="006C1E0B">
      <w:pPr>
        <w:pStyle w:val="ListNumber"/>
        <w:numPr>
          <w:ilvl w:val="0"/>
          <w:numId w:val="0"/>
        </w:numPr>
      </w:pPr>
      <w:r w:rsidRPr="004E5FC2">
        <w:lastRenderedPageBreak/>
        <w:t xml:space="preserve">Across many areas of life, there is evidence that disabled people in Great Britain are not provided with the same choice, control and opportunities as others. Disabled people experience significant disparities in education and a persistent employment and pay gap. There is a chronic shortage of accessible housing and those with care needs often cannot access vital support. Thousands of disabled people are detained in institutions, out of sight and at risk of restrictive treatment or abuse. The coronavirus </w:t>
      </w:r>
      <w:r w:rsidR="00DD3CA3">
        <w:t xml:space="preserve">(COVID-19) </w:t>
      </w:r>
      <w:r w:rsidRPr="004E5FC2">
        <w:t>pandemic and the response to it have exposed and exacerbated many of the inequalities disabled people face.</w:t>
      </w:r>
    </w:p>
    <w:p w14:paraId="79663A62" w14:textId="77777777" w:rsidR="00770C6F" w:rsidRDefault="00770C6F" w:rsidP="006C1E0B">
      <w:pPr>
        <w:pStyle w:val="ListNumber"/>
        <w:numPr>
          <w:ilvl w:val="0"/>
          <w:numId w:val="0"/>
        </w:numPr>
      </w:pPr>
    </w:p>
    <w:p w14:paraId="481F2A39" w14:textId="3C99F559" w:rsidR="004E5FC2" w:rsidRDefault="004E5FC2" w:rsidP="006C1E0B">
      <w:pPr>
        <w:pStyle w:val="ListNumber"/>
        <w:numPr>
          <w:ilvl w:val="0"/>
          <w:numId w:val="0"/>
        </w:numPr>
      </w:pPr>
      <w:r w:rsidRPr="004E5FC2">
        <w:t>A two-tiered society is not inevitable – with the right support, safeguards and protections, disabled people can participate fully and equally in society.</w:t>
      </w:r>
    </w:p>
    <w:p w14:paraId="6EA3B78D" w14:textId="77777777" w:rsidR="004E5FC2" w:rsidRPr="004E5FC2" w:rsidRDefault="004E5FC2" w:rsidP="004E5FC2">
      <w:pPr>
        <w:pStyle w:val="ListNumber"/>
        <w:numPr>
          <w:ilvl w:val="0"/>
          <w:numId w:val="0"/>
        </w:numPr>
      </w:pPr>
      <w:r w:rsidRPr="004E5FC2">
        <w:t xml:space="preserve"> </w:t>
      </w:r>
    </w:p>
    <w:p w14:paraId="19C59D2D" w14:textId="039623AE" w:rsidR="006666F4" w:rsidRDefault="004E5FC2" w:rsidP="006C1E0B">
      <w:pPr>
        <w:pStyle w:val="ListNumber"/>
        <w:numPr>
          <w:ilvl w:val="0"/>
          <w:numId w:val="0"/>
        </w:numPr>
      </w:pPr>
      <w:r w:rsidRPr="004E5FC2">
        <w:t>This paper presents evidence of the barriers that disabled people face and, based on that evidence, details the action needed to ensure disabled people can enjoy the same freedoms, autonomy and opportunity as the rest of society. We recommend that the right to independent living is incorporated in domestic law, and we have developed a proposed legal model to achieve that. We also recommend a number of other changes to law and policy that would support the right to independent living, remove barriers and improve the lives of disabled people. Taken together these steps represent a blueprint for a society where disabled people are treated with equal dignity and value.</w:t>
      </w:r>
    </w:p>
    <w:p w14:paraId="4D2B920D" w14:textId="77777777" w:rsidR="00AB3E4E" w:rsidRDefault="00AB3E4E" w:rsidP="00AB3E4E">
      <w:pPr>
        <w:pStyle w:val="Heading2"/>
        <w:rPr>
          <w:rStyle w:val="Howtousethistemplate"/>
          <w:color w:val="0B4E60" w:themeColor="text2"/>
          <w:sz w:val="36"/>
        </w:rPr>
      </w:pPr>
      <w:bookmarkStart w:id="7" w:name="_Toc66343441"/>
      <w:bookmarkStart w:id="8" w:name="_Toc71213912"/>
      <w:r w:rsidRPr="00AB3E4E">
        <w:rPr>
          <w:rStyle w:val="Howtousethistemplate"/>
          <w:color w:val="0B4E60" w:themeColor="text2"/>
          <w:sz w:val="36"/>
        </w:rPr>
        <w:t>Introduction</w:t>
      </w:r>
      <w:bookmarkEnd w:id="7"/>
      <w:bookmarkEnd w:id="8"/>
    </w:p>
    <w:p w14:paraId="3D04CD20" w14:textId="77777777" w:rsidR="00770C6F" w:rsidRDefault="00770C6F" w:rsidP="006C1E0B">
      <w:pPr>
        <w:pStyle w:val="ListNumber"/>
        <w:numPr>
          <w:ilvl w:val="0"/>
          <w:numId w:val="0"/>
        </w:numPr>
        <w:ind w:left="567" w:hanging="567"/>
      </w:pPr>
    </w:p>
    <w:p w14:paraId="1B8EDA3C" w14:textId="0FFF003B" w:rsidR="004E5FC2" w:rsidRPr="004E5FC2" w:rsidRDefault="004E5FC2" w:rsidP="00556DBB">
      <w:r w:rsidRPr="004E5FC2">
        <w:t>The U</w:t>
      </w:r>
      <w:r w:rsidR="0096740E">
        <w:t xml:space="preserve">nited </w:t>
      </w:r>
      <w:r w:rsidRPr="004E5FC2">
        <w:t>N</w:t>
      </w:r>
      <w:r w:rsidR="0096740E">
        <w:t>ations (UN)</w:t>
      </w:r>
      <w:r w:rsidRPr="004E5FC2">
        <w:t xml:space="preserve"> Convention on the Rights of Persons with Disabilities (CRPD) is an international human rights treaty adopted by the UK Government in 2006 and ratified in 2009. </w:t>
      </w:r>
      <w:r w:rsidR="004F5A06">
        <w:t>It</w:t>
      </w:r>
      <w:r w:rsidR="004F5A06" w:rsidRPr="004F5A06">
        <w:t xml:space="preserve"> </w:t>
      </w:r>
      <w:r w:rsidR="004F5A06">
        <w:t xml:space="preserve">protects </w:t>
      </w:r>
      <w:r w:rsidR="004F5A06" w:rsidRPr="004F5A06">
        <w:t>disabled people’s rights across a range of areas</w:t>
      </w:r>
      <w:r w:rsidR="004F5A06">
        <w:t>,</w:t>
      </w:r>
      <w:r w:rsidR="004F5A06" w:rsidRPr="004F5A06">
        <w:t xml:space="preserve"> including education, health, work and culture</w:t>
      </w:r>
      <w:r w:rsidR="004F5A06">
        <w:t>, and</w:t>
      </w:r>
      <w:r w:rsidR="004F5A06" w:rsidRPr="004F5A06">
        <w:t xml:space="preserve"> covers rights </w:t>
      </w:r>
      <w:r w:rsidR="009E0594">
        <w:t xml:space="preserve">that are also </w:t>
      </w:r>
      <w:r w:rsidR="004F5A06" w:rsidRPr="004F5A06">
        <w:t>enshrined in the Human Rights Act 1998, such as the rights to life, liberty and privacy.</w:t>
      </w:r>
      <w:r w:rsidR="004F5A06">
        <w:t xml:space="preserve"> </w:t>
      </w:r>
      <w:r w:rsidRPr="004E5FC2">
        <w:t xml:space="preserve">By ratifying the CRPD, the UK Government has agreed to protect and promote the rights of disabled people by taking practical steps to ensure the full realisation of disabled people’s fundamental rights and freedoms. </w:t>
      </w:r>
    </w:p>
    <w:p w14:paraId="5256FDA6" w14:textId="78A7E161" w:rsidR="004E5FC2" w:rsidRDefault="004E5FC2" w:rsidP="00556DBB">
      <w:r>
        <w:lastRenderedPageBreak/>
        <w:t>A</w:t>
      </w:r>
      <w:r w:rsidRPr="000A4071">
        <w:t>rticle 19 of the CRPD sets out that disabled people have the right to live independently as part of the community. This right is about ensuring disabled people can exercise choice and control over decisions that affect their lives on an equal basis with others, and have the maximum level of self-determination and independence. This includes having equal choice and control about living arrangements, daily activities and access to services.</w:t>
      </w:r>
      <w:r w:rsidRPr="000A4071">
        <w:rPr>
          <w:rStyle w:val="FootnoteReference"/>
          <w:rFonts w:ascii="Arial" w:hAnsi="Arial" w:cs="Arial"/>
          <w:szCs w:val="24"/>
        </w:rPr>
        <w:footnoteReference w:id="1"/>
      </w:r>
      <w:r w:rsidRPr="000A4071">
        <w:t xml:space="preserve"> At its heart is the </w:t>
      </w:r>
      <w:r>
        <w:t>principle</w:t>
      </w:r>
      <w:r w:rsidRPr="000A4071">
        <w:t xml:space="preserve"> that disabled people have equal value and dignity to non-disabled people. It is an integral human right for disabled people and has many interdependencies with other specific </w:t>
      </w:r>
      <w:r>
        <w:t xml:space="preserve">CRPD </w:t>
      </w:r>
      <w:r w:rsidRPr="000A4071">
        <w:t>rights</w:t>
      </w:r>
      <w:r w:rsidR="001C5DD2">
        <w:t xml:space="preserve">, including to equality and non-discrimination, accessibility, personal mobility, habilitation and rehabilitation, and </w:t>
      </w:r>
      <w:r w:rsidR="009E0594">
        <w:t xml:space="preserve">an </w:t>
      </w:r>
      <w:r w:rsidR="001C5DD2">
        <w:t>adequate standard of living and social protection</w:t>
      </w:r>
      <w:r w:rsidRPr="000A4071">
        <w:t>.</w:t>
      </w:r>
      <w:r w:rsidRPr="000A4071">
        <w:rPr>
          <w:rStyle w:val="FootnoteReference"/>
          <w:rFonts w:ascii="Arial" w:hAnsi="Arial" w:cs="Arial"/>
          <w:szCs w:val="24"/>
        </w:rPr>
        <w:footnoteReference w:id="2"/>
      </w:r>
      <w:r w:rsidRPr="000A4071">
        <w:t xml:space="preserve">  </w:t>
      </w:r>
    </w:p>
    <w:p w14:paraId="6E4D9894" w14:textId="77777777" w:rsidR="006666F4" w:rsidRDefault="006666F4" w:rsidP="006666F4">
      <w:pPr>
        <w:pStyle w:val="Boxtext"/>
        <w:ind w:left="360"/>
        <w:rPr>
          <w:b/>
        </w:rPr>
      </w:pPr>
      <w:bookmarkStart w:id="12" w:name="_Hlk66431547"/>
      <w:r w:rsidRPr="006666F4">
        <w:rPr>
          <w:b/>
        </w:rPr>
        <w:t>UN Convention on the Rights of Persons with Disabilities – Article 19</w:t>
      </w:r>
    </w:p>
    <w:p w14:paraId="31E34659" w14:textId="22B59DDC" w:rsidR="006666F4" w:rsidRDefault="001E77F6" w:rsidP="006666F4">
      <w:pPr>
        <w:pStyle w:val="Boxtext"/>
        <w:ind w:left="360"/>
      </w:pPr>
      <w:r>
        <w:t>‘</w:t>
      </w:r>
      <w:r w:rsidR="006666F4" w:rsidRPr="006666F4">
        <w:t>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w:t>
      </w:r>
      <w:r w:rsidR="00686D97">
        <w:t>.</w:t>
      </w:r>
      <w:r w:rsidR="000366DE">
        <w:t>’</w:t>
      </w:r>
    </w:p>
    <w:bookmarkEnd w:id="12"/>
    <w:p w14:paraId="770EA36A" w14:textId="62E6306F" w:rsidR="006666F4" w:rsidRDefault="006666F4" w:rsidP="006C1E0B">
      <w:pPr>
        <w:pStyle w:val="ListNumber"/>
        <w:numPr>
          <w:ilvl w:val="0"/>
          <w:numId w:val="0"/>
        </w:numPr>
      </w:pPr>
      <w:r w:rsidRPr="006666F4">
        <w:t xml:space="preserve">The right to live independently as part of the community, as enshrined in Article 19 of the CRPD, comprises three core elements, which </w:t>
      </w:r>
      <w:r w:rsidR="004F5A06">
        <w:t>we</w:t>
      </w:r>
      <w:r w:rsidRPr="006666F4">
        <w:t xml:space="preserve"> address separately in turn:</w:t>
      </w:r>
    </w:p>
    <w:p w14:paraId="07A0069B" w14:textId="33DCF994" w:rsidR="006666F4" w:rsidRDefault="006666F4" w:rsidP="00DC0252">
      <w:pPr>
        <w:pStyle w:val="ListBullet3"/>
      </w:pPr>
      <w:r>
        <w:rPr>
          <w:noProof/>
        </w:rPr>
        <w:t>Section 1 – equal choice and control about where to call home</w:t>
      </w:r>
    </w:p>
    <w:p w14:paraId="212A2DC5" w14:textId="7D2BE18F" w:rsidR="006666F4" w:rsidRDefault="006666F4" w:rsidP="00DC0252">
      <w:pPr>
        <w:pStyle w:val="ListBullet3"/>
        <w:rPr>
          <w:noProof/>
        </w:rPr>
      </w:pPr>
      <w:r>
        <w:t>Section 2 – access to support services</w:t>
      </w:r>
    </w:p>
    <w:p w14:paraId="20C94770" w14:textId="093DAC17" w:rsidR="006666F4" w:rsidRDefault="006666F4" w:rsidP="0096740E">
      <w:pPr>
        <w:pStyle w:val="ListBullet3"/>
      </w:pPr>
      <w:r>
        <w:t>Section 3 – equal participation in society</w:t>
      </w:r>
      <w:r w:rsidR="00F276F2">
        <w:t>.</w:t>
      </w:r>
      <w:r w:rsidR="0096740E">
        <w:br w:type="page"/>
      </w:r>
    </w:p>
    <w:p w14:paraId="2D2C3A1D" w14:textId="4BD62E53" w:rsidR="00770C6F" w:rsidRDefault="006666F4" w:rsidP="00556DBB">
      <w:pPr>
        <w:pStyle w:val="Heading2"/>
      </w:pPr>
      <w:bookmarkStart w:id="13" w:name="_Toc66343442"/>
      <w:bookmarkStart w:id="14" w:name="_Toc71213913"/>
      <w:r>
        <w:lastRenderedPageBreak/>
        <w:t>Scope of this paper</w:t>
      </w:r>
      <w:bookmarkEnd w:id="13"/>
      <w:bookmarkEnd w:id="14"/>
    </w:p>
    <w:p w14:paraId="6CAAF66F" w14:textId="39B45810" w:rsidR="004A266C" w:rsidRDefault="004E5FC2" w:rsidP="00556DBB">
      <w:r w:rsidRPr="000A4071">
        <w:t>Due to devolution, there are different contexts in the policy and legislative frameworks related to independent living across England, Wales</w:t>
      </w:r>
      <w:r w:rsidRPr="000A4071">
        <w:rPr>
          <w:rStyle w:val="FootnoteReference"/>
          <w:rFonts w:ascii="Arial" w:hAnsi="Arial" w:cs="Arial"/>
          <w:szCs w:val="24"/>
        </w:rPr>
        <w:footnoteReference w:id="3"/>
      </w:r>
      <w:r w:rsidRPr="000A4071">
        <w:t xml:space="preserve"> and Scotland.</w:t>
      </w:r>
      <w:r w:rsidRPr="000A4071">
        <w:rPr>
          <w:rStyle w:val="FootnoteReference"/>
          <w:rFonts w:ascii="Arial" w:hAnsi="Arial" w:cs="Arial"/>
          <w:szCs w:val="24"/>
        </w:rPr>
        <w:footnoteReference w:id="4"/>
      </w:r>
      <w:r w:rsidRPr="000A4071">
        <w:t xml:space="preserve"> This paper focuses on the realisation of the right to independent living in England and action taken by the UK Government to respect, protect and fulfil this right.</w:t>
      </w:r>
      <w:r w:rsidR="00A563B9">
        <w:t xml:space="preserve"> </w:t>
      </w:r>
      <w:r w:rsidR="00A563B9" w:rsidRPr="00A563B9">
        <w:t xml:space="preserve">This paper </w:t>
      </w:r>
      <w:r w:rsidR="00A563B9">
        <w:t xml:space="preserve">is </w:t>
      </w:r>
      <w:r w:rsidR="00A563B9" w:rsidRPr="00A563B9">
        <w:t xml:space="preserve">designed to </w:t>
      </w:r>
      <w:r w:rsidR="00587FA6">
        <w:t xml:space="preserve">provide advice to </w:t>
      </w:r>
      <w:r w:rsidR="00A563B9" w:rsidRPr="00A563B9">
        <w:t xml:space="preserve">the UK Government, </w:t>
      </w:r>
      <w:r w:rsidR="00A563B9">
        <w:t>p</w:t>
      </w:r>
      <w:r w:rsidR="00A563B9" w:rsidRPr="00A563B9">
        <w:t xml:space="preserve">arliamentarians and policy makers </w:t>
      </w:r>
      <w:r w:rsidR="00A563B9">
        <w:t xml:space="preserve">on </w:t>
      </w:r>
      <w:r w:rsidR="00587FA6">
        <w:t xml:space="preserve">the </w:t>
      </w:r>
      <w:r w:rsidR="00A563B9" w:rsidRPr="00A563B9">
        <w:t>steps required to address barriers to the right to independent living.</w:t>
      </w:r>
      <w:r w:rsidR="00090D2A">
        <w:t xml:space="preserve"> </w:t>
      </w:r>
    </w:p>
    <w:p w14:paraId="78FA7069" w14:textId="26261D4D" w:rsidR="006666F4" w:rsidRDefault="004E5FC2" w:rsidP="00556DBB">
      <w:r w:rsidRPr="000A4071">
        <w:t>While the CRPD creates obligations to promote and protect the rights of disabled people specifically, older people share many of the barriers faced by disabled people in realising the right to live independently as part of the community, and we have sought to highlight this throughout th</w:t>
      </w:r>
      <w:r w:rsidR="00F63D57">
        <w:t>e</w:t>
      </w:r>
      <w:r w:rsidRPr="000A4071">
        <w:t xml:space="preserve"> paper.</w:t>
      </w:r>
      <w:r w:rsidR="00090D2A">
        <w:t xml:space="preserve"> O</w:t>
      </w:r>
      <w:r w:rsidR="00090D2A" w:rsidRPr="00090D2A">
        <w:t xml:space="preserve">lder people are </w:t>
      </w:r>
      <w:r w:rsidR="00090D2A">
        <w:t>also more</w:t>
      </w:r>
      <w:r w:rsidR="00090D2A" w:rsidRPr="00090D2A">
        <w:t xml:space="preserve"> likely to</w:t>
      </w:r>
      <w:r w:rsidR="00AF2F9A">
        <w:t xml:space="preserve"> experience disability. In 2018/1</w:t>
      </w:r>
      <w:r w:rsidR="00090D2A" w:rsidRPr="00090D2A">
        <w:t>9, 44</w:t>
      </w:r>
      <w:r w:rsidR="00090D2A">
        <w:t>%</w:t>
      </w:r>
      <w:r w:rsidR="00090D2A" w:rsidRPr="00090D2A">
        <w:t xml:space="preserve"> of people of state-pension age reported a disability, compared to 19</w:t>
      </w:r>
      <w:r w:rsidR="00090D2A">
        <w:t>%</w:t>
      </w:r>
      <w:r w:rsidR="00090D2A" w:rsidRPr="00090D2A">
        <w:t xml:space="preserve"> of working-age adults and 8</w:t>
      </w:r>
      <w:r w:rsidR="00090D2A">
        <w:t>%</w:t>
      </w:r>
      <w:r w:rsidR="00090D2A" w:rsidRPr="00090D2A">
        <w:t xml:space="preserve"> of children</w:t>
      </w:r>
      <w:r w:rsidR="00090D2A">
        <w:t>.</w:t>
      </w:r>
      <w:r w:rsidRPr="000A4071">
        <w:rPr>
          <w:rStyle w:val="FootnoteReference"/>
          <w:rFonts w:ascii="Arial" w:hAnsi="Arial" w:cs="Arial"/>
          <w:szCs w:val="24"/>
        </w:rPr>
        <w:footnoteReference w:id="5"/>
      </w:r>
      <w:r w:rsidRPr="000A4071">
        <w:t xml:space="preserve"> It is important that older people</w:t>
      </w:r>
      <w:r>
        <w:t xml:space="preserve"> also</w:t>
      </w:r>
      <w:r w:rsidRPr="000A4071">
        <w:t xml:space="preserve"> have choice and control over decisions affecting their lives, on an equal basis with others. </w:t>
      </w:r>
      <w:r w:rsidR="00AF2F9A">
        <w:br w:type="page"/>
      </w:r>
    </w:p>
    <w:p w14:paraId="4D04C01E" w14:textId="3E8471F5" w:rsidR="00770C6F" w:rsidRDefault="004E5FC2" w:rsidP="00FB01DE">
      <w:pPr>
        <w:pStyle w:val="Heading2"/>
      </w:pPr>
      <w:bookmarkStart w:id="15" w:name="_Toc66343443"/>
      <w:bookmarkStart w:id="16" w:name="_Toc71213914"/>
      <w:r>
        <w:lastRenderedPageBreak/>
        <w:t>Incorporating the right to independent living in domestic law</w:t>
      </w:r>
      <w:bookmarkEnd w:id="15"/>
      <w:bookmarkEnd w:id="16"/>
    </w:p>
    <w:p w14:paraId="7451976F" w14:textId="061B6C1A" w:rsidR="005457D2" w:rsidRDefault="001E6457" w:rsidP="00556DBB">
      <w:r w:rsidRPr="00090D2A">
        <w:t xml:space="preserve">By signing and ratifying the CRPD, the UK has agreed to </w:t>
      </w:r>
      <w:r>
        <w:t xml:space="preserve">ensure </w:t>
      </w:r>
      <w:r w:rsidRPr="00090D2A">
        <w:t>that legislation, regulations, policy and practices protect and promote the rights included in</w:t>
      </w:r>
      <w:r>
        <w:t xml:space="preserve"> it</w:t>
      </w:r>
      <w:r w:rsidRPr="00090D2A">
        <w:t>.</w:t>
      </w:r>
      <w:r w:rsidRPr="004E5FC2">
        <w:t xml:space="preserve"> </w:t>
      </w:r>
      <w:r w:rsidR="004E5FC2" w:rsidRPr="004E5FC2">
        <w:t>As with all the rights in the CRPD, the UK Government has a binding obligation under international law to fulfil the right to independent living.</w:t>
      </w:r>
      <w:r w:rsidR="00090D2A">
        <w:t xml:space="preserve"> </w:t>
      </w:r>
      <w:r w:rsidR="004E5FC2" w:rsidRPr="004E5FC2">
        <w:t>However, th</w:t>
      </w:r>
      <w:r w:rsidR="0094131E">
        <w:t>e</w:t>
      </w:r>
      <w:r w:rsidR="004E5FC2" w:rsidRPr="004E5FC2">
        <w:t xml:space="preserve"> right </w:t>
      </w:r>
      <w:r w:rsidR="0094131E">
        <w:t xml:space="preserve">to independent living </w:t>
      </w:r>
      <w:r w:rsidR="004E5FC2" w:rsidRPr="004E5FC2">
        <w:t>has not been incorporated in domestic law, which means that disabled people have no redress in the UK courts if it is breached.</w:t>
      </w:r>
      <w:r w:rsidR="0094131E">
        <w:t xml:space="preserve"> </w:t>
      </w:r>
    </w:p>
    <w:p w14:paraId="6DEEE2B4" w14:textId="01895CF3" w:rsidR="00FB01DE" w:rsidRDefault="00770C6F" w:rsidP="00556DBB">
      <w:r>
        <w:t>T</w:t>
      </w:r>
      <w:r w:rsidR="0094131E">
        <w:t>he UK has ratified</w:t>
      </w:r>
      <w:r w:rsidR="00210C0B">
        <w:t xml:space="preserve"> </w:t>
      </w:r>
      <w:r w:rsidR="0094131E">
        <w:t xml:space="preserve">the CRPD Optional Protocol, </w:t>
      </w:r>
      <w:r w:rsidR="00AF2F9A">
        <w:t>which enables</w:t>
      </w:r>
      <w:r w:rsidR="0094131E">
        <w:t xml:space="preserve"> individuals or groups to complain to the </w:t>
      </w:r>
      <w:r w:rsidR="00AF2F9A">
        <w:t xml:space="preserve">UN </w:t>
      </w:r>
      <w:r w:rsidR="0094131E">
        <w:t xml:space="preserve">Committee </w:t>
      </w:r>
      <w:r w:rsidR="00F52281">
        <w:t xml:space="preserve">on the Rights of </w:t>
      </w:r>
      <w:r w:rsidR="005047CE">
        <w:t>Persons</w:t>
      </w:r>
      <w:r w:rsidR="00F52281">
        <w:t xml:space="preserve"> with Disabilities </w:t>
      </w:r>
      <w:r w:rsidR="0094131E">
        <w:t xml:space="preserve">about any violation of </w:t>
      </w:r>
      <w:r w:rsidR="00137E80">
        <w:t xml:space="preserve">the </w:t>
      </w:r>
      <w:r w:rsidR="0094131E">
        <w:t xml:space="preserve">CRPD. </w:t>
      </w:r>
      <w:r w:rsidR="001E6457">
        <w:t>T</w:t>
      </w:r>
      <w:r w:rsidR="00E93343">
        <w:t>his</w:t>
      </w:r>
      <w:r w:rsidR="0094131E">
        <w:t xml:space="preserve"> </w:t>
      </w:r>
      <w:r w:rsidR="005047CE">
        <w:t>C</w:t>
      </w:r>
      <w:r w:rsidR="0094131E">
        <w:t xml:space="preserve">ommittee can make recommendations in response to such claims, but </w:t>
      </w:r>
      <w:r w:rsidR="007D3DF4">
        <w:t>their recommendations</w:t>
      </w:r>
      <w:r w:rsidR="00AF2F9A">
        <w:t xml:space="preserve"> </w:t>
      </w:r>
      <w:r w:rsidR="0094131E">
        <w:t xml:space="preserve">are not legally enforceable and </w:t>
      </w:r>
      <w:r w:rsidR="00137E80">
        <w:t>they</w:t>
      </w:r>
      <w:r w:rsidR="0094131E">
        <w:t xml:space="preserve"> cannot </w:t>
      </w:r>
      <w:r w:rsidR="007D3DF4">
        <w:t>force governments to implement them</w:t>
      </w:r>
      <w:r w:rsidR="0094131E">
        <w:t>.</w:t>
      </w:r>
      <w:r w:rsidR="00032ECA">
        <w:t xml:space="preserve"> </w:t>
      </w:r>
      <w:r w:rsidR="001E6457">
        <w:t>Un</w:t>
      </w:r>
      <w:r w:rsidR="005047CE">
        <w:t xml:space="preserve">der the Optional Protocol, </w:t>
      </w:r>
      <w:r w:rsidR="00137E80">
        <w:t>this</w:t>
      </w:r>
      <w:r w:rsidR="00937219">
        <w:t xml:space="preserve"> </w:t>
      </w:r>
      <w:r w:rsidR="005047CE">
        <w:t>C</w:t>
      </w:r>
      <w:r w:rsidR="001E6457">
        <w:t>ommittee can also</w:t>
      </w:r>
      <w:r w:rsidR="00032ECA" w:rsidRPr="00032ECA">
        <w:t xml:space="preserve"> </w:t>
      </w:r>
      <w:r w:rsidR="00210C0B">
        <w:t>make</w:t>
      </w:r>
      <w:r w:rsidR="00137E80">
        <w:t xml:space="preserve"> inquiries into countries where</w:t>
      </w:r>
      <w:r w:rsidR="00032ECA" w:rsidRPr="00032ECA">
        <w:t xml:space="preserve"> there is reliable information indicating grave or systemic violations of the C</w:t>
      </w:r>
      <w:r w:rsidR="00032ECA">
        <w:t>RPD.</w:t>
      </w:r>
      <w:r w:rsidR="004E5FC2" w:rsidRPr="004E5FC2">
        <w:rPr>
          <w:vertAlign w:val="superscript"/>
        </w:rPr>
        <w:footnoteReference w:id="6"/>
      </w:r>
      <w:r w:rsidR="001E6457">
        <w:t xml:space="preserve"> </w:t>
      </w:r>
    </w:p>
    <w:p w14:paraId="0293A47E" w14:textId="792A3E9E" w:rsidR="00210C0B" w:rsidRDefault="00210C0B" w:rsidP="00556DBB">
      <w:r>
        <w:t xml:space="preserve">The </w:t>
      </w:r>
      <w:r w:rsidR="00137E80">
        <w:t>UN Committee on the Rights of Persons with Disabilities</w:t>
      </w:r>
      <w:r>
        <w:t xml:space="preserve"> </w:t>
      </w:r>
      <w:r w:rsidR="001E6457">
        <w:t>undertook an inquiry i</w:t>
      </w:r>
      <w:r>
        <w:t xml:space="preserve">nto the UK that was completed in </w:t>
      </w:r>
      <w:r w:rsidR="001E6457">
        <w:t>2016 following evidence of grave or systemic violations of</w:t>
      </w:r>
      <w:r>
        <w:t>:</w:t>
      </w:r>
    </w:p>
    <w:p w14:paraId="31859CAA" w14:textId="77777777" w:rsidR="00210C0B" w:rsidRDefault="001E6457" w:rsidP="00556DBB">
      <w:pPr>
        <w:pStyle w:val="ListParagraph"/>
        <w:numPr>
          <w:ilvl w:val="0"/>
          <w:numId w:val="70"/>
        </w:numPr>
      </w:pPr>
      <w:r>
        <w:t>the right to live independently as part</w:t>
      </w:r>
      <w:r w:rsidR="00210C0B">
        <w:t xml:space="preserve"> of the community (Article 19)</w:t>
      </w:r>
    </w:p>
    <w:p w14:paraId="51DDFEBE" w14:textId="49EA0318" w:rsidR="00210C0B" w:rsidRDefault="001E6457" w:rsidP="00556DBB">
      <w:pPr>
        <w:pStyle w:val="ListParagraph"/>
        <w:numPr>
          <w:ilvl w:val="0"/>
          <w:numId w:val="70"/>
        </w:numPr>
      </w:pPr>
      <w:r>
        <w:t>the right to wo</w:t>
      </w:r>
      <w:r w:rsidR="00210C0B">
        <w:t>rk and employment (Article 27), and</w:t>
      </w:r>
    </w:p>
    <w:p w14:paraId="208C1B1E" w14:textId="4C41FC00" w:rsidR="00FB01DE" w:rsidRDefault="001E6457" w:rsidP="00556DBB">
      <w:pPr>
        <w:pStyle w:val="ListParagraph"/>
        <w:numPr>
          <w:ilvl w:val="0"/>
          <w:numId w:val="70"/>
        </w:numPr>
      </w:pPr>
      <w:r>
        <w:t>the right to an adequate standard of living and social protection (Article 28).</w:t>
      </w:r>
      <w:r>
        <w:rPr>
          <w:rStyle w:val="FootnoteReference"/>
        </w:rPr>
        <w:footnoteReference w:id="7"/>
      </w:r>
      <w:r w:rsidR="00FB01DE">
        <w:br w:type="page"/>
      </w:r>
    </w:p>
    <w:p w14:paraId="43467F7E" w14:textId="4C42D1D6" w:rsidR="00937219" w:rsidRDefault="00137E80" w:rsidP="00556DBB">
      <w:r>
        <w:lastRenderedPageBreak/>
        <w:t>In recent years, t</w:t>
      </w:r>
      <w:r w:rsidR="00FB01DE" w:rsidRPr="000A4071">
        <w:t xml:space="preserve">he </w:t>
      </w:r>
      <w:r>
        <w:t>UN Committee on the Rights of Persons with Disabilities</w:t>
      </w:r>
      <w:r w:rsidR="00FB01DE">
        <w:t xml:space="preserve"> </w:t>
      </w:r>
      <w:r w:rsidR="00FB01DE" w:rsidRPr="000A4071">
        <w:t>found evidence of regress</w:t>
      </w:r>
      <w:r w:rsidR="00FB01DE">
        <w:t xml:space="preserve">ion in the right to independent </w:t>
      </w:r>
      <w:r w:rsidR="00FB01DE" w:rsidRPr="000A4071">
        <w:t>living in England.</w:t>
      </w:r>
      <w:r w:rsidR="00FB01DE" w:rsidRPr="000A4071" w:rsidDel="00FE4E1C">
        <w:rPr>
          <w:rStyle w:val="FootnoteReference"/>
          <w:rFonts w:ascii="Arial" w:hAnsi="Arial" w:cs="Arial"/>
          <w:szCs w:val="24"/>
        </w:rPr>
        <w:footnoteReference w:id="8"/>
      </w:r>
      <w:r w:rsidR="00FB01DE">
        <w:t xml:space="preserve"> We have previously recommended that the UK Government should incorporate the CRPD as a whole into domestic law so that individuals can effectively challenge rights </w:t>
      </w:r>
      <w:r w:rsidR="00937219">
        <w:t>violations and access redress.</w:t>
      </w:r>
    </w:p>
    <w:p w14:paraId="78D6ED37" w14:textId="6469351C" w:rsidR="00937219" w:rsidRDefault="00FB01DE" w:rsidP="00937219">
      <w:r>
        <w:t>However, given the centrality of the right to independent living, and concerns about regression on the realisation of this right, we also support specific, targeted measures to incorporate Article 19 rights and bring domestic law into line wi</w:t>
      </w:r>
      <w:r w:rsidR="00937219">
        <w:t>th international requirements. In collaboration with stakeholders, w</w:t>
      </w:r>
      <w:r>
        <w:t xml:space="preserve">e have developed a legal model for incorporating the right to independent living into </w:t>
      </w:r>
      <w:r w:rsidR="00137E80">
        <w:t>UK</w:t>
      </w:r>
      <w:r>
        <w:t xml:space="preserve"> law</w:t>
      </w:r>
      <w:r w:rsidR="00937219">
        <w:t>.</w:t>
      </w:r>
      <w:r>
        <w:t xml:space="preserve"> Our proposals have been endorsed by the </w:t>
      </w:r>
      <w:r w:rsidR="00137E80">
        <w:t xml:space="preserve">UN Committee on the Rights of Persons with Disabilities </w:t>
      </w:r>
      <w:r w:rsidR="00556DBB">
        <w:t>as wel</w:t>
      </w:r>
      <w:r w:rsidR="00937219">
        <w:t>l</w:t>
      </w:r>
      <w:r w:rsidR="00556DBB">
        <w:t xml:space="preserve"> as </w:t>
      </w:r>
      <w:r>
        <w:t>UK Parliament’s Joint Co</w:t>
      </w:r>
      <w:r w:rsidR="00937219">
        <w:t>mmittee on Human Rights (JCHR).</w:t>
      </w:r>
    </w:p>
    <w:p w14:paraId="212C6C3F" w14:textId="1D54FF37" w:rsidR="0017457D" w:rsidRPr="0017457D" w:rsidRDefault="00937219" w:rsidP="00937219">
      <w:r>
        <w:t>Our</w:t>
      </w:r>
      <w:r w:rsidR="0017457D" w:rsidRPr="0017457D">
        <w:t xml:space="preserve"> full proposed legal model is set out in the appendix to this paper. The key elements are: </w:t>
      </w:r>
    </w:p>
    <w:p w14:paraId="404176C4" w14:textId="4006F767" w:rsidR="00486D4B" w:rsidRDefault="0017457D" w:rsidP="00486D4B">
      <w:pPr>
        <w:pStyle w:val="ListNumber"/>
        <w:numPr>
          <w:ilvl w:val="0"/>
          <w:numId w:val="36"/>
        </w:numPr>
      </w:pPr>
      <w:r w:rsidRPr="00486D4B">
        <w:rPr>
          <w:b/>
        </w:rPr>
        <w:t xml:space="preserve">a statutory </w:t>
      </w:r>
      <w:bookmarkStart w:id="20" w:name="_Hlk66437426"/>
      <w:r w:rsidR="005607FD">
        <w:rPr>
          <w:b/>
        </w:rPr>
        <w:t>P</w:t>
      </w:r>
      <w:r w:rsidRPr="00486D4B">
        <w:rPr>
          <w:b/>
        </w:rPr>
        <w:t xml:space="preserve">ublic </w:t>
      </w:r>
      <w:r w:rsidR="005607FD">
        <w:rPr>
          <w:b/>
        </w:rPr>
        <w:t>S</w:t>
      </w:r>
      <w:r w:rsidRPr="00486D4B">
        <w:rPr>
          <w:b/>
        </w:rPr>
        <w:t xml:space="preserve">ector </w:t>
      </w:r>
      <w:r w:rsidR="005607FD">
        <w:rPr>
          <w:b/>
        </w:rPr>
        <w:t>I</w:t>
      </w:r>
      <w:r w:rsidRPr="00486D4B">
        <w:rPr>
          <w:b/>
        </w:rPr>
        <w:t xml:space="preserve">nclusion </w:t>
      </w:r>
      <w:r w:rsidR="005607FD">
        <w:rPr>
          <w:b/>
        </w:rPr>
        <w:t>O</w:t>
      </w:r>
      <w:r w:rsidRPr="00486D4B">
        <w:rPr>
          <w:b/>
        </w:rPr>
        <w:t>bjective</w:t>
      </w:r>
      <w:r>
        <w:t xml:space="preserve"> </w:t>
      </w:r>
      <w:bookmarkEnd w:id="20"/>
      <w:r>
        <w:t>that puts a duty on public bodies to act with the objective of meeting the requirements of CRPD Article 19</w:t>
      </w:r>
      <w:r w:rsidR="00486D4B">
        <w:t xml:space="preserve"> </w:t>
      </w:r>
    </w:p>
    <w:p w14:paraId="2A761ACA" w14:textId="664DF605" w:rsidR="00486D4B" w:rsidRDefault="0017457D" w:rsidP="00486D4B">
      <w:pPr>
        <w:pStyle w:val="ListNumber"/>
        <w:numPr>
          <w:ilvl w:val="0"/>
          <w:numId w:val="36"/>
        </w:numPr>
      </w:pPr>
      <w:r w:rsidRPr="00486D4B">
        <w:rPr>
          <w:b/>
        </w:rPr>
        <w:t>a presumption on public bodies to provide accommodation, care and support in the community,</w:t>
      </w:r>
      <w:r>
        <w:t xml:space="preserve"> unless this is not in line with the person’s wishes</w:t>
      </w:r>
      <w:r w:rsidR="00486D4B">
        <w:t xml:space="preserve"> </w:t>
      </w:r>
    </w:p>
    <w:p w14:paraId="1563D056" w14:textId="57E40238" w:rsidR="00DA38E2" w:rsidRDefault="0017457D" w:rsidP="00DA38E2">
      <w:pPr>
        <w:pStyle w:val="ListNumber"/>
        <w:numPr>
          <w:ilvl w:val="0"/>
          <w:numId w:val="36"/>
        </w:numPr>
      </w:pPr>
      <w:r w:rsidRPr="00486D4B">
        <w:rPr>
          <w:b/>
        </w:rPr>
        <w:t>recognition of the primacy of disabled people’s views in decisions about accommodation, care and support,</w:t>
      </w:r>
      <w:r>
        <w:t xml:space="preserve"> including a right to decline care</w:t>
      </w:r>
    </w:p>
    <w:p w14:paraId="4B37566D" w14:textId="61360777" w:rsidR="00DA38E2" w:rsidRDefault="0017457D" w:rsidP="00DA38E2">
      <w:pPr>
        <w:pStyle w:val="ListNumber"/>
        <w:numPr>
          <w:ilvl w:val="0"/>
          <w:numId w:val="36"/>
        </w:numPr>
        <w:rPr>
          <w:b/>
        </w:rPr>
      </w:pPr>
      <w:r w:rsidRPr="00DA38E2">
        <w:rPr>
          <w:b/>
        </w:rPr>
        <w:t>a prohibition on the establishment of further institutional accommodation</w:t>
      </w:r>
      <w:r w:rsidR="00DA38E2">
        <w:rPr>
          <w:b/>
        </w:rPr>
        <w:t xml:space="preserve"> </w:t>
      </w:r>
    </w:p>
    <w:p w14:paraId="6DEF2D9D" w14:textId="70C95A5C" w:rsidR="00DA38E2" w:rsidRDefault="0017457D" w:rsidP="00DA38E2">
      <w:pPr>
        <w:pStyle w:val="ListNumber"/>
        <w:numPr>
          <w:ilvl w:val="0"/>
          <w:numId w:val="36"/>
        </w:numPr>
        <w:rPr>
          <w:b/>
        </w:rPr>
      </w:pPr>
      <w:r w:rsidRPr="00DA38E2">
        <w:rPr>
          <w:b/>
        </w:rPr>
        <w:t>a duty on public bodies to assess the level of unmet need for accommodation in the community, and care and support to enable community or home living,</w:t>
      </w:r>
      <w:r>
        <w:t xml:space="preserve"> and report on what they will do to meet that need</w:t>
      </w:r>
      <w:r w:rsidR="007157D2">
        <w:t>, and</w:t>
      </w:r>
      <w:r w:rsidR="00DA38E2">
        <w:rPr>
          <w:b/>
        </w:rPr>
        <w:t xml:space="preserve"> </w:t>
      </w:r>
    </w:p>
    <w:p w14:paraId="084C9C22" w14:textId="2C57DF68" w:rsidR="004E5FC2" w:rsidRPr="006C1E0B" w:rsidRDefault="0017457D" w:rsidP="00DA38E2">
      <w:pPr>
        <w:pStyle w:val="ListNumber"/>
        <w:numPr>
          <w:ilvl w:val="0"/>
          <w:numId w:val="36"/>
        </w:numPr>
        <w:rPr>
          <w:b/>
        </w:rPr>
      </w:pPr>
      <w:r w:rsidRPr="00DA38E2">
        <w:rPr>
          <w:b/>
        </w:rPr>
        <w:t>effective enforcement mechanisms and provision of guidance on implementation</w:t>
      </w:r>
      <w:r>
        <w:t xml:space="preserve"> to help ensure the right to independent living is upheld in practice.</w:t>
      </w:r>
    </w:p>
    <w:p w14:paraId="4222600A" w14:textId="77777777" w:rsidR="004A266C" w:rsidRPr="00DA38E2" w:rsidRDefault="004A266C" w:rsidP="006C1E0B">
      <w:pPr>
        <w:pStyle w:val="ListNumber"/>
        <w:numPr>
          <w:ilvl w:val="0"/>
          <w:numId w:val="0"/>
        </w:numPr>
        <w:ind w:left="927"/>
        <w:rPr>
          <w:b/>
        </w:rPr>
      </w:pPr>
    </w:p>
    <w:p w14:paraId="71A01FAE" w14:textId="2D58F603" w:rsidR="00DA38E2" w:rsidRPr="00DA38E2" w:rsidRDefault="00DA38E2" w:rsidP="00080613">
      <w:pPr>
        <w:pStyle w:val="ListNumber"/>
        <w:numPr>
          <w:ilvl w:val="0"/>
          <w:numId w:val="0"/>
        </w:numPr>
      </w:pPr>
      <w:r w:rsidRPr="00DA38E2">
        <w:t>In our view, strengthening legal protections for the right to independent living would help ensure the protection and fulfilment of disabled people’s human rights more broadly</w:t>
      </w:r>
      <w:r w:rsidR="004558B4">
        <w:t xml:space="preserve">. </w:t>
      </w:r>
    </w:p>
    <w:p w14:paraId="7E0E6F82" w14:textId="48555F72" w:rsidR="004E5FC2" w:rsidRDefault="00DA38E2" w:rsidP="00DA38E2">
      <w:pPr>
        <w:pStyle w:val="Heading2"/>
      </w:pPr>
      <w:bookmarkStart w:id="21" w:name="_Toc66343444"/>
      <w:bookmarkStart w:id="22" w:name="_Toc71213915"/>
      <w:r>
        <w:t>Involving disabled people in decisions that affect their lives</w:t>
      </w:r>
      <w:bookmarkEnd w:id="21"/>
      <w:bookmarkEnd w:id="22"/>
    </w:p>
    <w:p w14:paraId="19063328" w14:textId="77777777" w:rsidR="00770C6F" w:rsidRDefault="00770C6F" w:rsidP="006C1E0B">
      <w:pPr>
        <w:pStyle w:val="ListNumber"/>
        <w:numPr>
          <w:ilvl w:val="0"/>
          <w:numId w:val="0"/>
        </w:numPr>
        <w:ind w:left="567" w:hanging="567"/>
      </w:pPr>
    </w:p>
    <w:p w14:paraId="7CEA59D3" w14:textId="283EFCE2" w:rsidR="004A266C" w:rsidRPr="00DA38E2" w:rsidRDefault="00DA38E2" w:rsidP="005B6280">
      <w:pPr>
        <w:pStyle w:val="ListNumber"/>
        <w:numPr>
          <w:ilvl w:val="0"/>
          <w:numId w:val="0"/>
        </w:numPr>
      </w:pPr>
      <w:r w:rsidRPr="00DA38E2">
        <w:t xml:space="preserve">Under the CRPD, the UK has an obligation to </w:t>
      </w:r>
      <w:r w:rsidR="007157D2">
        <w:t>‘</w:t>
      </w:r>
      <w:r w:rsidRPr="00DA38E2">
        <w:t>consult with and actively involve</w:t>
      </w:r>
      <w:r w:rsidR="007157D2">
        <w:t>’</w:t>
      </w:r>
      <w:r w:rsidRPr="00DA38E2">
        <w:t xml:space="preserve"> disabled people and </w:t>
      </w:r>
      <w:r w:rsidR="005607FD">
        <w:t xml:space="preserve">their </w:t>
      </w:r>
      <w:r w:rsidR="00515E79">
        <w:t xml:space="preserve">representative </w:t>
      </w:r>
      <w:r w:rsidRPr="00DA38E2">
        <w:t>organisations</w:t>
      </w:r>
      <w:r w:rsidR="00515E79">
        <w:t xml:space="preserve"> (</w:t>
      </w:r>
      <w:r w:rsidR="005607FD">
        <w:t xml:space="preserve">organisations that are </w:t>
      </w:r>
      <w:r w:rsidR="00515E79" w:rsidRPr="00515E79">
        <w:t>led, directed and governed by disabled people</w:t>
      </w:r>
      <w:r w:rsidR="00515E79">
        <w:t>)</w:t>
      </w:r>
      <w:r w:rsidRPr="00DA38E2">
        <w:t xml:space="preserve"> in the development and implementation of legislation, policies and other decision-making processes relating to disabled people’s lives.</w:t>
      </w:r>
      <w:r>
        <w:rPr>
          <w:rStyle w:val="FootnoteReference"/>
        </w:rPr>
        <w:footnoteReference w:id="9"/>
      </w:r>
      <w:r w:rsidRPr="00DA38E2">
        <w:t xml:space="preserve"> The </w:t>
      </w:r>
      <w:r w:rsidR="001D6B1D">
        <w:t xml:space="preserve">UN </w:t>
      </w:r>
      <w:r w:rsidRPr="00DA38E2">
        <w:t xml:space="preserve">Committee </w:t>
      </w:r>
      <w:r w:rsidR="00B93978">
        <w:t xml:space="preserve">on the Rights of Persons with Disabilities </w:t>
      </w:r>
      <w:r w:rsidRPr="00DA38E2">
        <w:t>makes clear that consulting with and involving disabled people should be considered a mandatory step prior to the approval of laws, regulations or policies.</w:t>
      </w:r>
      <w:r w:rsidRPr="00DA38E2">
        <w:rPr>
          <w:vertAlign w:val="superscript"/>
        </w:rPr>
        <w:footnoteReference w:id="10"/>
      </w:r>
      <w:r w:rsidRPr="00DA38E2">
        <w:t xml:space="preserve"> This is in keeping with the position of the disability movement that there should be </w:t>
      </w:r>
      <w:r w:rsidR="009F41A7">
        <w:t>‘</w:t>
      </w:r>
      <w:r w:rsidRPr="00DA38E2">
        <w:t>nothing about us, without us</w:t>
      </w:r>
      <w:r w:rsidR="009F41A7">
        <w:t>’</w:t>
      </w:r>
      <w:r w:rsidRPr="00DA38E2">
        <w:t xml:space="preserve">. It recognises that disabled people are experts in identifying and promoting solutions to address the problems and barriers they face. </w:t>
      </w:r>
    </w:p>
    <w:p w14:paraId="32544CFA" w14:textId="7D7A2E0F" w:rsidR="00DA38E2" w:rsidRPr="00813475" w:rsidRDefault="005B6280" w:rsidP="005B6280">
      <w:pPr>
        <w:pStyle w:val="Heading3"/>
      </w:pPr>
      <w:r>
        <w:t>Recommendation</w:t>
      </w:r>
    </w:p>
    <w:p w14:paraId="3C6A3CC1" w14:textId="08F2D892" w:rsidR="00813475" w:rsidRPr="00813475" w:rsidRDefault="00813475" w:rsidP="005B6280">
      <w:pPr>
        <w:pStyle w:val="ListBullet3"/>
        <w:numPr>
          <w:ilvl w:val="0"/>
          <w:numId w:val="0"/>
        </w:numPr>
        <w:rPr>
          <w:b/>
        </w:rPr>
      </w:pPr>
      <w:r w:rsidRPr="00813475">
        <w:t xml:space="preserve">In taking action to address </w:t>
      </w:r>
      <w:r w:rsidR="005B6280">
        <w:t>our</w:t>
      </w:r>
      <w:r w:rsidRPr="00813475">
        <w:t xml:space="preserve"> recommendations in this paper, the UK Government should ensure that as a key principle they fully and actively involve disabled people in decision-making processes, as this is in itself essential to fulfilling the right to independent living.</w:t>
      </w:r>
      <w:r w:rsidRPr="00813475">
        <w:rPr>
          <w:vertAlign w:val="superscript"/>
        </w:rPr>
        <w:footnoteReference w:id="11"/>
      </w:r>
    </w:p>
    <w:p w14:paraId="236031FB" w14:textId="77777777" w:rsidR="00813475" w:rsidRPr="00DA38E2" w:rsidRDefault="00813475" w:rsidP="00DA38E2"/>
    <w:p w14:paraId="0AD8C00C" w14:textId="795BEEFA" w:rsidR="00514A49" w:rsidRDefault="00813475" w:rsidP="00A82FF5">
      <w:pPr>
        <w:pStyle w:val="Heading1"/>
      </w:pPr>
      <w:bookmarkStart w:id="26" w:name="_Toc71213916"/>
      <w:r>
        <w:lastRenderedPageBreak/>
        <w:t>Equal choice and control about where to call home</w:t>
      </w:r>
      <w:bookmarkEnd w:id="26"/>
    </w:p>
    <w:p w14:paraId="3AD76E02" w14:textId="3BB81798" w:rsidR="008C5594" w:rsidRPr="001E6028" w:rsidRDefault="008C5594" w:rsidP="008C5594">
      <w:pPr>
        <w:pStyle w:val="Boxtitle"/>
      </w:pPr>
      <w:bookmarkStart w:id="27" w:name="_Hlk66441191"/>
      <w:r>
        <w:t>UN CRPD – Article 19(a):</w:t>
      </w:r>
    </w:p>
    <w:p w14:paraId="0578E9A5" w14:textId="3AD00F72" w:rsidR="008C5594" w:rsidRPr="00813475" w:rsidRDefault="00E53175" w:rsidP="008C5594">
      <w:pPr>
        <w:pStyle w:val="Boxtext"/>
      </w:pPr>
      <w:r>
        <w:t>‘</w:t>
      </w:r>
      <w:r w:rsidR="008C5594" w:rsidRPr="008C5594">
        <w:t>[States Parties shall ensure that] Persons with disabilities have the opportunity to choose their place of residence and where and with whom they live on an equal basis with others and are not obliged to live in a particular living arrangement</w:t>
      </w:r>
      <w:r>
        <w:t>’</w:t>
      </w:r>
    </w:p>
    <w:bookmarkEnd w:id="27"/>
    <w:p w14:paraId="3CF46F5C" w14:textId="3EC7B9C7" w:rsidR="00FF13E9" w:rsidRDefault="008C5594" w:rsidP="006C1E0B">
      <w:pPr>
        <w:pStyle w:val="ListNumber"/>
        <w:numPr>
          <w:ilvl w:val="0"/>
          <w:numId w:val="0"/>
        </w:numPr>
      </w:pPr>
      <w:r w:rsidRPr="008C5594">
        <w:t>Under Article 19 of the CRPD, disabled people have the right to choose, on an equal basis with others, where, how and with whom they live.</w:t>
      </w:r>
      <w:r w:rsidR="00E53175">
        <w:t xml:space="preserve"> </w:t>
      </w:r>
      <w:r w:rsidR="005B6280">
        <w:t>M</w:t>
      </w:r>
      <w:r w:rsidRPr="008C5594">
        <w:t>any disabled people live in restrictive institutional settings, away from friends and family</w:t>
      </w:r>
      <w:r w:rsidR="005B6280">
        <w:t>,</w:t>
      </w:r>
      <w:r w:rsidRPr="008C5594">
        <w:t xml:space="preserve"> </w:t>
      </w:r>
      <w:r w:rsidR="005B6280">
        <w:t>o</w:t>
      </w:r>
      <w:r w:rsidRPr="008C5594">
        <w:t xml:space="preserve">ften </w:t>
      </w:r>
      <w:r w:rsidR="005B6280">
        <w:t>as a</w:t>
      </w:r>
      <w:r w:rsidRPr="008C5594">
        <w:t xml:space="preserve"> result of insufficient support to live independently as part of the community. Living in institutional settings can impinge on disabled people’s liberty, family life and full participation in society. </w:t>
      </w:r>
      <w:r w:rsidR="00FF13E9">
        <w:t xml:space="preserve">It </w:t>
      </w:r>
      <w:r w:rsidRPr="008C5594">
        <w:t>can</w:t>
      </w:r>
      <w:r w:rsidR="005B6280">
        <w:t xml:space="preserve"> also</w:t>
      </w:r>
      <w:r w:rsidRPr="008C5594">
        <w:t xml:space="preserve"> restrict disabled people’s autonomy, choice and control about the lives they want to lead, including their daily activities and routine, the types of social </w:t>
      </w:r>
      <w:r w:rsidR="00D46819">
        <w:t>and</w:t>
      </w:r>
      <w:r w:rsidRPr="008C5594">
        <w:t xml:space="preserve"> leisure activities they would like to engage in, connection to family and friends, and their participation in the wider community.</w:t>
      </w:r>
      <w:r w:rsidRPr="008C5594">
        <w:rPr>
          <w:vertAlign w:val="superscript"/>
        </w:rPr>
        <w:footnoteReference w:id="12"/>
      </w:r>
      <w:r w:rsidRPr="008C5594">
        <w:t xml:space="preserve"> </w:t>
      </w:r>
    </w:p>
    <w:p w14:paraId="5A2ED6FF" w14:textId="77777777" w:rsidR="00FF13E9" w:rsidRDefault="00FF13E9" w:rsidP="006C1E0B">
      <w:pPr>
        <w:pStyle w:val="ListNumber"/>
        <w:numPr>
          <w:ilvl w:val="0"/>
          <w:numId w:val="0"/>
        </w:numPr>
      </w:pPr>
    </w:p>
    <w:p w14:paraId="5AE345E2" w14:textId="7B272239" w:rsidR="008C5594" w:rsidRPr="00DA38E2" w:rsidRDefault="008C5594" w:rsidP="006C1E0B">
      <w:pPr>
        <w:pStyle w:val="ListNumber"/>
        <w:numPr>
          <w:ilvl w:val="0"/>
          <w:numId w:val="0"/>
        </w:numPr>
      </w:pPr>
      <w:r w:rsidRPr="008C5594">
        <w:t xml:space="preserve">The </w:t>
      </w:r>
      <w:r w:rsidR="00FF13E9">
        <w:t>COVID-19</w:t>
      </w:r>
      <w:r w:rsidRPr="008C5594">
        <w:t xml:space="preserve"> pandemic has led to further restrictions on the human rights of people living in institutional settings, including the right to liberty, the right to health and </w:t>
      </w:r>
      <w:r w:rsidR="00D46819">
        <w:t xml:space="preserve">the right to </w:t>
      </w:r>
      <w:r w:rsidRPr="008C5594">
        <w:t>respect for private and family life</w:t>
      </w:r>
      <w:r w:rsidR="00D46819">
        <w:t>,</w:t>
      </w:r>
      <w:r w:rsidRPr="008C5594">
        <w:t xml:space="preserve"> and has created specific risks to the right to life.</w:t>
      </w:r>
      <w:r w:rsidRPr="008C5594">
        <w:rPr>
          <w:vertAlign w:val="superscript"/>
        </w:rPr>
        <w:footnoteReference w:id="13"/>
      </w:r>
    </w:p>
    <w:p w14:paraId="1EA0507E" w14:textId="073CB1EB" w:rsidR="008C5594" w:rsidRPr="008C5594" w:rsidRDefault="008C5594" w:rsidP="008C5594">
      <w:pPr>
        <w:pStyle w:val="Heading2"/>
      </w:pPr>
      <w:bookmarkStart w:id="30" w:name="_Toc66343446"/>
      <w:bookmarkStart w:id="31" w:name="_Toc71213917"/>
      <w:r>
        <w:lastRenderedPageBreak/>
        <w:t>Detention and treatment of people with learning disabilities or autism</w:t>
      </w:r>
      <w:bookmarkEnd w:id="30"/>
      <w:bookmarkEnd w:id="31"/>
    </w:p>
    <w:p w14:paraId="7EB6F784" w14:textId="77777777" w:rsidR="00770C6F" w:rsidRDefault="00770C6F" w:rsidP="006C1E0B">
      <w:pPr>
        <w:pStyle w:val="ListNumber"/>
        <w:numPr>
          <w:ilvl w:val="0"/>
          <w:numId w:val="0"/>
        </w:numPr>
        <w:ind w:left="567"/>
      </w:pPr>
    </w:p>
    <w:p w14:paraId="2BA3EF66" w14:textId="1324B622" w:rsidR="008C5594" w:rsidRDefault="008C5594" w:rsidP="006C1E0B">
      <w:pPr>
        <w:pStyle w:val="ListNumber"/>
        <w:numPr>
          <w:ilvl w:val="0"/>
          <w:numId w:val="0"/>
        </w:numPr>
      </w:pPr>
      <w:r w:rsidRPr="008C5594">
        <w:t>Many adults and children with learning disabilities and</w:t>
      </w:r>
      <w:r w:rsidR="00FF13E9">
        <w:t xml:space="preserve"> </w:t>
      </w:r>
      <w:r w:rsidRPr="008C5594">
        <w:t>/</w:t>
      </w:r>
      <w:r w:rsidR="00FF13E9">
        <w:t xml:space="preserve"> </w:t>
      </w:r>
      <w:r w:rsidRPr="008C5594">
        <w:t>or autism are held in long-term secure settings. T</w:t>
      </w:r>
      <w:r w:rsidR="00FF13E9">
        <w:t>ypically t</w:t>
      </w:r>
      <w:r w:rsidRPr="008C5594">
        <w:t xml:space="preserve">his is because there is not enough support available in the community or in other less restrictive residential settings. We, </w:t>
      </w:r>
      <w:r w:rsidR="00FF13E9">
        <w:t>the JCHR</w:t>
      </w:r>
      <w:r w:rsidRPr="008C5594">
        <w:t>,</w:t>
      </w:r>
      <w:r w:rsidRPr="008C5594">
        <w:rPr>
          <w:vertAlign w:val="superscript"/>
        </w:rPr>
        <w:footnoteReference w:id="14"/>
      </w:r>
      <w:r w:rsidRPr="008C5594">
        <w:t xml:space="preserve"> the </w:t>
      </w:r>
      <w:r w:rsidR="001D6B1D">
        <w:t xml:space="preserve">UN </w:t>
      </w:r>
      <w:r w:rsidRPr="008C5594">
        <w:t>C</w:t>
      </w:r>
      <w:r w:rsidR="005047CE">
        <w:t>ommittee on the Rights of Persons with Disabilities</w:t>
      </w:r>
      <w:r w:rsidRPr="008C5594">
        <w:rPr>
          <w:vertAlign w:val="superscript"/>
        </w:rPr>
        <w:footnoteReference w:id="15"/>
      </w:r>
      <w:r w:rsidRPr="008C5594">
        <w:t xml:space="preserve"> and other stakeholders</w:t>
      </w:r>
      <w:r w:rsidR="00B93978">
        <w:t>, including the Care Quality Commission (CQC),</w:t>
      </w:r>
      <w:r w:rsidRPr="008C5594">
        <w:rPr>
          <w:vertAlign w:val="superscript"/>
        </w:rPr>
        <w:footnoteReference w:id="16"/>
      </w:r>
      <w:r w:rsidRPr="008C5594">
        <w:t xml:space="preserve"> have expressed long-standing concerns about ongoing inappropriate detention and treatment in institutional settings</w:t>
      </w:r>
      <w:r w:rsidR="00B01F19">
        <w:t>. This</w:t>
      </w:r>
      <w:r w:rsidRPr="008C5594">
        <w:t xml:space="preserve"> suggests a systemic failure to protect the rights to liberty, to a private and family life</w:t>
      </w:r>
      <w:r w:rsidR="00C07D2C">
        <w:t>,</w:t>
      </w:r>
      <w:r w:rsidRPr="008C5594">
        <w:t xml:space="preserve"> and to live independently. </w:t>
      </w:r>
    </w:p>
    <w:p w14:paraId="4724F9B7" w14:textId="77777777" w:rsidR="004A266C" w:rsidRPr="008C5594" w:rsidRDefault="004A266C" w:rsidP="006C1E0B">
      <w:pPr>
        <w:pStyle w:val="ListNumber"/>
        <w:numPr>
          <w:ilvl w:val="0"/>
          <w:numId w:val="0"/>
        </w:numPr>
        <w:ind w:left="567"/>
      </w:pPr>
    </w:p>
    <w:p w14:paraId="6278C522" w14:textId="00A0E729" w:rsidR="00D5070B" w:rsidRPr="008C5594" w:rsidRDefault="008C5594" w:rsidP="006C1E0B">
      <w:pPr>
        <w:pStyle w:val="ListNumber"/>
        <w:numPr>
          <w:ilvl w:val="0"/>
          <w:numId w:val="0"/>
        </w:numPr>
      </w:pPr>
      <w:r w:rsidRPr="008C5594">
        <w:t>Long-term secure settings often cannot meet the needs of their residents. Evidence shows a high incidence of restraint and other restrictive interventions,</w:t>
      </w:r>
      <w:r w:rsidRPr="008C5594">
        <w:rPr>
          <w:vertAlign w:val="superscript"/>
        </w:rPr>
        <w:footnoteReference w:id="17"/>
      </w:r>
      <w:r w:rsidRPr="008C5594">
        <w:t xml:space="preserve"> which can be traumatising and may be contrary to human rights standards.</w:t>
      </w:r>
      <w:r w:rsidRPr="008C5594">
        <w:rPr>
          <w:vertAlign w:val="superscript"/>
        </w:rPr>
        <w:footnoteReference w:id="18"/>
      </w:r>
      <w:r w:rsidRPr="008C5594">
        <w:t xml:space="preserve"> Some institutions apply blanket restrictions that impinge on people’s human rights and freedoms.</w:t>
      </w:r>
      <w:r w:rsidRPr="008C5594">
        <w:rPr>
          <w:vertAlign w:val="superscript"/>
        </w:rPr>
        <w:footnoteReference w:id="19"/>
      </w:r>
      <w:r w:rsidRPr="008C5594">
        <w:t xml:space="preserve"> There have been a number of reports of inhuman or degrading treatment in institutional settings, such as the shocking physical and psychological abuse of patients with learning disabilities at Whorlton Hall</w:t>
      </w:r>
      <w:r w:rsidR="00F52281">
        <w:t xml:space="preserve"> (an independent hospital in County Durham)</w:t>
      </w:r>
      <w:r w:rsidRPr="008C5594">
        <w:t xml:space="preserve"> exposed by </w:t>
      </w:r>
      <w:r w:rsidR="0068020F">
        <w:t xml:space="preserve">the </w:t>
      </w:r>
      <w:r w:rsidRPr="008C5594">
        <w:t>BBC</w:t>
      </w:r>
      <w:r w:rsidR="0068020F">
        <w:t>’s</w:t>
      </w:r>
      <w:r w:rsidRPr="008C5594">
        <w:t xml:space="preserve"> Panorama</w:t>
      </w:r>
      <w:r w:rsidR="0068020F">
        <w:t xml:space="preserve"> programme</w:t>
      </w:r>
      <w:r w:rsidR="00F52281">
        <w:t xml:space="preserve"> in 2019, and at Winterbourne View </w:t>
      </w:r>
      <w:r w:rsidR="0068020F">
        <w:t>(a private h</w:t>
      </w:r>
      <w:r w:rsidR="00F52281">
        <w:t>ospital</w:t>
      </w:r>
      <w:r w:rsidR="0068020F">
        <w:t xml:space="preserve"> near Bristol)</w:t>
      </w:r>
      <w:r w:rsidR="00F52281">
        <w:t xml:space="preserve"> in 2011.</w:t>
      </w:r>
      <w:r w:rsidRPr="008C5594">
        <w:rPr>
          <w:vertAlign w:val="superscript"/>
        </w:rPr>
        <w:footnoteReference w:id="20"/>
      </w:r>
    </w:p>
    <w:p w14:paraId="5AA87148" w14:textId="77777777" w:rsidR="00B01F19" w:rsidRDefault="008C5594" w:rsidP="006C1E0B">
      <w:pPr>
        <w:pStyle w:val="ListNumber"/>
        <w:numPr>
          <w:ilvl w:val="0"/>
          <w:numId w:val="0"/>
        </w:numPr>
      </w:pPr>
      <w:r w:rsidRPr="000A4071">
        <w:lastRenderedPageBreak/>
        <w:t xml:space="preserve">The UK Government has </w:t>
      </w:r>
      <w:r w:rsidR="005F1B62">
        <w:t>made several commitments</w:t>
      </w:r>
      <w:r w:rsidRPr="000A4071">
        <w:t xml:space="preserve"> to transform health and care services so that more people with learning disabilities and</w:t>
      </w:r>
      <w:r w:rsidR="00B01F19">
        <w:t xml:space="preserve"> </w:t>
      </w:r>
      <w:r w:rsidR="00CE57D9">
        <w:t>/</w:t>
      </w:r>
      <w:r w:rsidR="00B01F19">
        <w:t xml:space="preserve"> </w:t>
      </w:r>
      <w:r w:rsidR="00CE57D9">
        <w:t>or</w:t>
      </w:r>
      <w:r w:rsidRPr="000A4071">
        <w:t xml:space="preserve"> autism can live in their communities</w:t>
      </w:r>
      <w:r w:rsidR="0068020F">
        <w:t xml:space="preserve">. </w:t>
      </w:r>
      <w:r w:rsidR="005F1B62">
        <w:t>In 2015, the</w:t>
      </w:r>
      <w:r w:rsidR="00B01F19">
        <w:t xml:space="preserve"> UK</w:t>
      </w:r>
      <w:r w:rsidR="005F1B62">
        <w:t xml:space="preserve"> Go</w:t>
      </w:r>
      <w:r w:rsidR="00B01F19">
        <w:t>vernment committed to a 35–</w:t>
      </w:r>
      <w:r w:rsidR="005F1B62">
        <w:t>5</w:t>
      </w:r>
      <w:r w:rsidR="0068020F">
        <w:t>0% reduction in inpatient care</w:t>
      </w:r>
      <w:r w:rsidR="0028590E">
        <w:t>,</w:t>
      </w:r>
      <w:r w:rsidR="005F1B62">
        <w:t xml:space="preserve"> </w:t>
      </w:r>
      <w:r w:rsidR="008F535B">
        <w:t>with no more than 1,700 people still being cared for in such settings</w:t>
      </w:r>
      <w:r w:rsidR="0068020F">
        <w:t xml:space="preserve"> by March 2019</w:t>
      </w:r>
      <w:r w:rsidR="008F535B">
        <w:t xml:space="preserve">. </w:t>
      </w:r>
      <w:r w:rsidR="0028590E">
        <w:t>Subsequently, t</w:t>
      </w:r>
      <w:r w:rsidR="008F535B">
        <w:t xml:space="preserve">he NHS Long Term Plan </w:t>
      </w:r>
      <w:r w:rsidR="0028590E">
        <w:t xml:space="preserve">commits to </w:t>
      </w:r>
      <w:r w:rsidR="008F535B">
        <w:t>a 50% reduction on 2015 levels by March 2024.</w:t>
      </w:r>
      <w:r w:rsidRPr="000A4071">
        <w:rPr>
          <w:rStyle w:val="FootnoteReference"/>
          <w:rFonts w:ascii="Arial" w:hAnsi="Arial" w:cs="Arial"/>
          <w:szCs w:val="24"/>
        </w:rPr>
        <w:footnoteReference w:id="21"/>
      </w:r>
      <w:r w:rsidRPr="000A4071">
        <w:t xml:space="preserve"> </w:t>
      </w:r>
    </w:p>
    <w:p w14:paraId="3896FB8E" w14:textId="77777777" w:rsidR="00B01F19" w:rsidRDefault="00B01F19" w:rsidP="006C1E0B">
      <w:pPr>
        <w:pStyle w:val="ListNumber"/>
        <w:numPr>
          <w:ilvl w:val="0"/>
          <w:numId w:val="0"/>
        </w:numPr>
      </w:pPr>
    </w:p>
    <w:p w14:paraId="40D4816C" w14:textId="3FED1791" w:rsidR="00E25788" w:rsidRDefault="00B01F19" w:rsidP="006C1E0B">
      <w:pPr>
        <w:pStyle w:val="ListNumber"/>
        <w:numPr>
          <w:ilvl w:val="0"/>
          <w:numId w:val="0"/>
        </w:numPr>
        <w:rPr>
          <w:shd w:val="clear" w:color="auto" w:fill="FFFFFF"/>
        </w:rPr>
      </w:pPr>
      <w:r>
        <w:t xml:space="preserve">However, </w:t>
      </w:r>
      <w:r w:rsidR="008C5594" w:rsidRPr="000A4071">
        <w:t>targets have been missed</w:t>
      </w:r>
      <w:r>
        <w:t xml:space="preserve"> </w:t>
      </w:r>
      <w:r w:rsidRPr="000A4071">
        <w:t>repeatedly</w:t>
      </w:r>
      <w:r w:rsidR="008C5594" w:rsidRPr="000A4071">
        <w:t>.</w:t>
      </w:r>
      <w:r w:rsidR="008C5594" w:rsidRPr="000A4071">
        <w:rPr>
          <w:rStyle w:val="FootnoteReference"/>
          <w:rFonts w:ascii="Arial" w:hAnsi="Arial" w:cs="Arial"/>
          <w:szCs w:val="24"/>
        </w:rPr>
        <w:footnoteReference w:id="22"/>
      </w:r>
      <w:r w:rsidR="008C5594" w:rsidRPr="000A4071">
        <w:t xml:space="preserve"> A</w:t>
      </w:r>
      <w:r w:rsidR="008C5594">
        <w:t xml:space="preserve">t the end </w:t>
      </w:r>
      <w:r w:rsidR="008C5594" w:rsidRPr="000A4071">
        <w:rPr>
          <w:shd w:val="clear" w:color="auto" w:fill="FFFFFF"/>
        </w:rPr>
        <w:t xml:space="preserve">of </w:t>
      </w:r>
      <w:r w:rsidR="008C5594">
        <w:rPr>
          <w:shd w:val="clear" w:color="auto" w:fill="FFFFFF"/>
        </w:rPr>
        <w:t>December</w:t>
      </w:r>
      <w:r w:rsidR="008C5594" w:rsidRPr="000A4071">
        <w:rPr>
          <w:shd w:val="clear" w:color="auto" w:fill="FFFFFF"/>
        </w:rPr>
        <w:t xml:space="preserve"> 2020, </w:t>
      </w:r>
      <w:r w:rsidR="008C5594" w:rsidRPr="000A4071">
        <w:t>there were still 2,</w:t>
      </w:r>
      <w:r w:rsidR="008C5594">
        <w:t xml:space="preserve">055 </w:t>
      </w:r>
      <w:r w:rsidR="008C5594" w:rsidRPr="000A4071">
        <w:t xml:space="preserve">people with learning disabilities </w:t>
      </w:r>
      <w:r w:rsidR="00CE57D9">
        <w:t>and</w:t>
      </w:r>
      <w:r>
        <w:t xml:space="preserve"> </w:t>
      </w:r>
      <w:r w:rsidR="00CE57D9">
        <w:t>/</w:t>
      </w:r>
      <w:r>
        <w:t xml:space="preserve"> </w:t>
      </w:r>
      <w:r w:rsidR="008C5594" w:rsidRPr="000A4071">
        <w:t xml:space="preserve">or autism living in inpatient units in England, </w:t>
      </w:r>
      <w:r w:rsidR="008C5594">
        <w:t>59</w:t>
      </w:r>
      <w:r w:rsidR="00CE57D9">
        <w:t>%</w:t>
      </w:r>
      <w:r w:rsidR="008C5594" w:rsidRPr="000A4071">
        <w:t xml:space="preserve"> of whom had been detained for over two years,</w:t>
      </w:r>
      <w:r w:rsidR="008C5594" w:rsidRPr="000A4071">
        <w:rPr>
          <w:rStyle w:val="FootnoteReference"/>
          <w:rFonts w:ascii="Arial" w:hAnsi="Arial" w:cs="Arial"/>
          <w:szCs w:val="24"/>
        </w:rPr>
        <w:footnoteReference w:id="23"/>
      </w:r>
      <w:r w:rsidR="008C5594" w:rsidRPr="000A4071">
        <w:t xml:space="preserve"> often far from home.</w:t>
      </w:r>
      <w:r w:rsidR="008C5594" w:rsidRPr="000A4071">
        <w:rPr>
          <w:rStyle w:val="FootnoteReference"/>
          <w:rFonts w:ascii="Arial" w:hAnsi="Arial" w:cs="Arial"/>
          <w:szCs w:val="24"/>
        </w:rPr>
        <w:footnoteReference w:id="24"/>
      </w:r>
      <w:r w:rsidR="008C5594" w:rsidRPr="000A4071">
        <w:t xml:space="preserve"> In February 2020, </w:t>
      </w:r>
      <w:r w:rsidR="00CE57D9">
        <w:t>we</w:t>
      </w:r>
      <w:r w:rsidR="008C5594" w:rsidRPr="000A4071">
        <w:t xml:space="preserve"> </w:t>
      </w:r>
      <w:r w:rsidR="008C5594">
        <w:t>triggered</w:t>
      </w:r>
      <w:r w:rsidR="008C5594" w:rsidRPr="000A4071">
        <w:t xml:space="preserve"> a legal </w:t>
      </w:r>
      <w:r w:rsidR="008C5594" w:rsidRPr="000A4071">
        <w:rPr>
          <w:shd w:val="clear" w:color="auto" w:fill="FFFFFF"/>
        </w:rPr>
        <w:t>challenge against the Secretary of State for Health and Social Care over the repeated failure to move people with learning disabilities and</w:t>
      </w:r>
      <w:r w:rsidR="00CE57D9">
        <w:rPr>
          <w:shd w:val="clear" w:color="auto" w:fill="FFFFFF"/>
        </w:rPr>
        <w:t>/or</w:t>
      </w:r>
      <w:r w:rsidR="008C5594" w:rsidRPr="000A4071">
        <w:rPr>
          <w:shd w:val="clear" w:color="auto" w:fill="FFFFFF"/>
        </w:rPr>
        <w:t xml:space="preserve"> autism into appropriate accommodation.</w:t>
      </w:r>
      <w:r w:rsidR="008C5594" w:rsidRPr="000A4071" w:rsidDel="00AC0394">
        <w:rPr>
          <w:rStyle w:val="FootnoteReference"/>
          <w:rFonts w:ascii="Arial" w:hAnsi="Arial" w:cs="Arial"/>
          <w:szCs w:val="24"/>
          <w:shd w:val="clear" w:color="auto" w:fill="FFFFFF"/>
        </w:rPr>
        <w:t xml:space="preserve"> </w:t>
      </w:r>
      <w:r w:rsidR="008C5594">
        <w:rPr>
          <w:rStyle w:val="FootnoteReference"/>
          <w:rFonts w:ascii="Arial" w:hAnsi="Arial" w:cs="Arial"/>
          <w:szCs w:val="24"/>
          <w:shd w:val="clear" w:color="auto" w:fill="FFFFFF"/>
        </w:rPr>
        <w:footnoteReference w:id="25"/>
      </w:r>
      <w:r w:rsidR="008C5594">
        <w:rPr>
          <w:shd w:val="clear" w:color="auto" w:fill="FFFFFF"/>
        </w:rPr>
        <w:t xml:space="preserve"> Our work on this matter continues.</w:t>
      </w:r>
    </w:p>
    <w:p w14:paraId="169E5671" w14:textId="02EE5545" w:rsidR="008C5594" w:rsidRPr="0006713C" w:rsidRDefault="00D5070B" w:rsidP="006C1E0B">
      <w:pPr>
        <w:pStyle w:val="ListNumber"/>
        <w:numPr>
          <w:ilvl w:val="0"/>
          <w:numId w:val="0"/>
        </w:numPr>
      </w:pPr>
      <w:r>
        <w:lastRenderedPageBreak/>
        <w:t>Data suggests the</w:t>
      </w:r>
      <w:r w:rsidRPr="000A4071">
        <w:t xml:space="preserve"> use of restrictive interventions in inpatient settings</w:t>
      </w:r>
      <w:r w:rsidR="005E765E">
        <w:t xml:space="preserve">, including physical, chemical and </w:t>
      </w:r>
      <w:r w:rsidR="00375364">
        <w:t>mechanical restraint, seclusion and segregation,</w:t>
      </w:r>
      <w:r w:rsidRPr="000A4071">
        <w:t xml:space="preserve"> has increased </w:t>
      </w:r>
      <w:r w:rsidR="005607FD">
        <w:t>during</w:t>
      </w:r>
      <w:r w:rsidR="005607FD" w:rsidRPr="000A4071">
        <w:t xml:space="preserve"> </w:t>
      </w:r>
      <w:r w:rsidRPr="000A4071">
        <w:t xml:space="preserve">the </w:t>
      </w:r>
      <w:r w:rsidR="002F28B5">
        <w:t xml:space="preserve">coronavirus </w:t>
      </w:r>
      <w:r w:rsidRPr="000A4071">
        <w:t>pandemic</w:t>
      </w:r>
      <w:r>
        <w:t>.</w:t>
      </w:r>
      <w:r w:rsidR="00311E5B" w:rsidRPr="00311E5B">
        <w:t xml:space="preserve"> </w:t>
      </w:r>
      <w:r w:rsidR="00311E5B">
        <w:t>Fo</w:t>
      </w:r>
      <w:r w:rsidR="00311E5B" w:rsidRPr="00311E5B">
        <w:t>r example, there was an increase from 3,590 instances of restraint (including 605 on children</w:t>
      </w:r>
      <w:r w:rsidR="005607FD">
        <w:t>)</w:t>
      </w:r>
      <w:r w:rsidR="00311E5B">
        <w:t xml:space="preserve"> during </w:t>
      </w:r>
      <w:r w:rsidR="00311E5B" w:rsidRPr="00311E5B">
        <w:t>February 2020, to 4,020 (including 730 on children) in November 2020.</w:t>
      </w:r>
      <w:r w:rsidRPr="000A4071">
        <w:rPr>
          <w:rStyle w:val="FootnoteReference"/>
          <w:rFonts w:ascii="Arial" w:hAnsi="Arial" w:cs="Arial"/>
          <w:szCs w:val="24"/>
        </w:rPr>
        <w:footnoteReference w:id="26"/>
      </w:r>
      <w:r w:rsidRPr="000A4071">
        <w:t xml:space="preserve"> The pandemic has</w:t>
      </w:r>
      <w:r>
        <w:t xml:space="preserve"> also</w:t>
      </w:r>
      <w:r w:rsidRPr="000A4071">
        <w:t xml:space="preserve"> exacerbated challenges in accessing community care, increasing the risk that discharges will be further delayed.</w:t>
      </w:r>
      <w:r w:rsidRPr="000A4071">
        <w:rPr>
          <w:rStyle w:val="FootnoteReference"/>
          <w:rFonts w:ascii="Arial" w:hAnsi="Arial" w:cs="Arial"/>
          <w:szCs w:val="24"/>
        </w:rPr>
        <w:footnoteReference w:id="27"/>
      </w:r>
      <w:r w:rsidRPr="000A4071">
        <w:t xml:space="preserve"> There has been a </w:t>
      </w:r>
      <w:r>
        <w:t>disproportionate number of C</w:t>
      </w:r>
      <w:r w:rsidR="002F28B5">
        <w:t>OVID</w:t>
      </w:r>
      <w:r>
        <w:t>-19 related deaths</w:t>
      </w:r>
      <w:r w:rsidRPr="000A4071">
        <w:t xml:space="preserve"> among people with learning disabilities and/or autism who access care, including those who live in inpatient settings, which raises concerns about their safety during the pandemic and more broadly</w:t>
      </w:r>
      <w:r w:rsidR="0070694E">
        <w:t xml:space="preserve">. </w:t>
      </w:r>
      <w:r w:rsidR="0070694E" w:rsidRPr="0070694E">
        <w:t>For example, the CQC reported a 134</w:t>
      </w:r>
      <w:r w:rsidR="0070694E">
        <w:t>%</w:t>
      </w:r>
      <w:r w:rsidR="0070694E" w:rsidRPr="0070694E">
        <w:t xml:space="preserve"> increase in deaths </w:t>
      </w:r>
      <w:r w:rsidR="0070694E">
        <w:t xml:space="preserve">among </w:t>
      </w:r>
      <w:r w:rsidR="0070694E" w:rsidRPr="0070694E">
        <w:t>those receiving care from learning disabilities and/or autism services between 10 April and 15 May 2020</w:t>
      </w:r>
      <w:r w:rsidR="0070694E">
        <w:t xml:space="preserve"> and</w:t>
      </w:r>
      <w:r w:rsidR="0070694E" w:rsidRPr="0070694E">
        <w:t xml:space="preserve"> Public Health England found that the death rate for people with a learning disability was at least 4.1 times higher than the general population in the spring of 2020.</w:t>
      </w:r>
      <w:r w:rsidRPr="000A4071">
        <w:rPr>
          <w:rStyle w:val="FootnoteReference"/>
          <w:rFonts w:ascii="Arial" w:hAnsi="Arial" w:cs="Arial"/>
          <w:szCs w:val="24"/>
        </w:rPr>
        <w:footnoteReference w:id="28"/>
      </w:r>
      <w:r w:rsidRPr="000A4071">
        <w:t xml:space="preserve">  </w:t>
      </w:r>
      <w:r w:rsidR="0006713C">
        <w:br w:type="page"/>
      </w:r>
    </w:p>
    <w:p w14:paraId="0F42B4C9" w14:textId="5079E881" w:rsidR="00D5070B" w:rsidRDefault="00D5070B" w:rsidP="00D5070B">
      <w:pPr>
        <w:pStyle w:val="Heading2"/>
      </w:pPr>
      <w:bookmarkStart w:id="33" w:name="_Toc66343447"/>
      <w:bookmarkStart w:id="34" w:name="_Toc71213918"/>
      <w:r>
        <w:lastRenderedPageBreak/>
        <w:t>Mental health detention</w:t>
      </w:r>
      <w:bookmarkEnd w:id="33"/>
      <w:bookmarkEnd w:id="34"/>
    </w:p>
    <w:p w14:paraId="072C2869" w14:textId="77777777" w:rsidR="00770C6F" w:rsidRDefault="00770C6F" w:rsidP="006C1E0B">
      <w:pPr>
        <w:pStyle w:val="ListNumber"/>
        <w:numPr>
          <w:ilvl w:val="0"/>
          <w:numId w:val="0"/>
        </w:numPr>
        <w:ind w:left="567"/>
      </w:pPr>
    </w:p>
    <w:p w14:paraId="7ED4A8F6" w14:textId="509686A5" w:rsidR="00D5070B" w:rsidRDefault="00D5070B" w:rsidP="006C1E0B">
      <w:pPr>
        <w:pStyle w:val="ListNumber"/>
        <w:numPr>
          <w:ilvl w:val="0"/>
          <w:numId w:val="0"/>
        </w:numPr>
      </w:pPr>
      <w:r w:rsidRPr="00D5070B">
        <w:t>The Mental Health Act allows people who are experiencing mental distress to be detained for the purposes of assessment and compulsory treatment. There were almost 51,000 detentions recorded in 2019</w:t>
      </w:r>
      <w:r w:rsidR="00F417F4">
        <w:t>–</w:t>
      </w:r>
      <w:r w:rsidRPr="00D5070B">
        <w:t>20</w:t>
      </w:r>
      <w:r w:rsidR="0070694E">
        <w:t xml:space="preserve">, although </w:t>
      </w:r>
      <w:r w:rsidR="00803906">
        <w:t>t</w:t>
      </w:r>
      <w:r w:rsidR="0070694E" w:rsidRPr="0070694E">
        <w:t>he total will be higher as not all providers submit data</w:t>
      </w:r>
      <w:r w:rsidRPr="00D5070B">
        <w:t>.</w:t>
      </w:r>
      <w:r w:rsidRPr="00D5070B">
        <w:rPr>
          <w:vertAlign w:val="superscript"/>
        </w:rPr>
        <w:footnoteReference w:id="29"/>
      </w:r>
      <w:r w:rsidRPr="00D5070B">
        <w:t xml:space="preserve"> We are concerned that the legislation does not adequately support disabled people’s right to independent living</w:t>
      </w:r>
      <w:r w:rsidR="00803906">
        <w:t xml:space="preserve"> under CRPD Article 19</w:t>
      </w:r>
      <w:r w:rsidRPr="00D5070B">
        <w:t xml:space="preserve">, which includes </w:t>
      </w:r>
      <w:r w:rsidR="00803906">
        <w:t>the</w:t>
      </w:r>
      <w:r w:rsidRPr="00D5070B">
        <w:t xml:space="preserve"> right to autonomy over decisions affecting their lives. </w:t>
      </w:r>
    </w:p>
    <w:p w14:paraId="72231A25" w14:textId="77777777" w:rsidR="00770C6F" w:rsidRDefault="00770C6F" w:rsidP="006C1E0B">
      <w:pPr>
        <w:pStyle w:val="ListNumber"/>
        <w:numPr>
          <w:ilvl w:val="0"/>
          <w:numId w:val="0"/>
        </w:numPr>
      </w:pPr>
    </w:p>
    <w:p w14:paraId="69DA54F7" w14:textId="04C4537D" w:rsidR="00D5070B" w:rsidRDefault="00D5070B" w:rsidP="006C1E0B">
      <w:pPr>
        <w:pStyle w:val="ListNumber"/>
        <w:numPr>
          <w:ilvl w:val="0"/>
          <w:numId w:val="0"/>
        </w:numPr>
      </w:pPr>
      <w:r w:rsidRPr="00D5070B">
        <w:t xml:space="preserve">Evidence suggests the Mental Health Act does not sufficiently empower people to be involved in decisions about their treatment. The </w:t>
      </w:r>
      <w:r w:rsidR="00F417F4">
        <w:t>CQC</w:t>
      </w:r>
      <w:r w:rsidRPr="00D5070B">
        <w:t xml:space="preserve"> has reported that </w:t>
      </w:r>
      <w:r w:rsidR="005A1C23">
        <w:t>over a fifth</w:t>
      </w:r>
      <w:r w:rsidRPr="00D5070B">
        <w:t xml:space="preserve"> of mental health patients were not involved in their care</w:t>
      </w:r>
      <w:r w:rsidR="00803906">
        <w:t xml:space="preserve"> </w:t>
      </w:r>
      <w:r w:rsidRPr="00D5070B">
        <w:t>planning,</w:t>
      </w:r>
      <w:r w:rsidRPr="00D5070B">
        <w:rPr>
          <w:vertAlign w:val="superscript"/>
        </w:rPr>
        <w:footnoteReference w:id="30"/>
      </w:r>
      <w:r w:rsidRPr="00D5070B">
        <w:t xml:space="preserve"> and there is evidence that advance decision</w:t>
      </w:r>
      <w:r w:rsidR="00F0355C">
        <w:t xml:space="preserve"> </w:t>
      </w:r>
      <w:r w:rsidRPr="00D5070B">
        <w:t>making is not used routinely or considered binding.</w:t>
      </w:r>
      <w:r w:rsidRPr="00D5070B">
        <w:rPr>
          <w:vertAlign w:val="superscript"/>
        </w:rPr>
        <w:footnoteReference w:id="31"/>
      </w:r>
    </w:p>
    <w:p w14:paraId="04284E7C" w14:textId="77777777" w:rsidR="00FE2687" w:rsidRDefault="00FE2687" w:rsidP="006C1E0B">
      <w:pPr>
        <w:pStyle w:val="ListNumber"/>
        <w:numPr>
          <w:ilvl w:val="0"/>
          <w:numId w:val="0"/>
        </w:numPr>
      </w:pPr>
    </w:p>
    <w:p w14:paraId="72362B38" w14:textId="1ABB8480" w:rsidR="00D5070B" w:rsidRDefault="00D5070B" w:rsidP="006C1E0B">
      <w:pPr>
        <w:pStyle w:val="ListNumber"/>
        <w:numPr>
          <w:ilvl w:val="0"/>
          <w:numId w:val="0"/>
        </w:numPr>
      </w:pPr>
      <w:r w:rsidRPr="000A4071">
        <w:lastRenderedPageBreak/>
        <w:t>Insufficient early and preventative mental health support in the community means there is more scope for people to reach crisis</w:t>
      </w:r>
      <w:r w:rsidR="00A26C73">
        <w:t xml:space="preserve"> point</w:t>
      </w:r>
      <w:r w:rsidRPr="000A4071">
        <w:t>, resulting in detentions that could otherwise be avoided.</w:t>
      </w:r>
      <w:r w:rsidRPr="000A4071">
        <w:rPr>
          <w:rStyle w:val="FootnoteReference"/>
        </w:rPr>
        <w:footnoteReference w:id="32"/>
      </w:r>
      <w:r w:rsidRPr="000A4071">
        <w:t xml:space="preserve"> </w:t>
      </w:r>
      <w:r w:rsidR="00E871EF">
        <w:t>There has been</w:t>
      </w:r>
      <w:r w:rsidR="00E871EF" w:rsidRPr="000A4071" w:rsidDel="00E871EF">
        <w:t xml:space="preserve"> </w:t>
      </w:r>
      <w:r w:rsidR="00E871EF">
        <w:t>i</w:t>
      </w:r>
      <w:r w:rsidRPr="000A4071">
        <w:t>ncreased investment in community mental health services and crisis support in recent years</w:t>
      </w:r>
      <w:r w:rsidR="00E871EF">
        <w:t>.</w:t>
      </w:r>
      <w:r w:rsidRPr="000A4071">
        <w:rPr>
          <w:rStyle w:val="FootnoteReference"/>
        </w:rPr>
        <w:footnoteReference w:id="33"/>
      </w:r>
      <w:r w:rsidRPr="000A4071">
        <w:t xml:space="preserve"> </w:t>
      </w:r>
      <w:r w:rsidR="00E871EF">
        <w:t xml:space="preserve">But </w:t>
      </w:r>
      <w:r w:rsidRPr="000A4071">
        <w:t>demand</w:t>
      </w:r>
      <w:r w:rsidR="00E871EF">
        <w:t xml:space="preserve"> is rising.</w:t>
      </w:r>
      <w:r w:rsidR="00E871EF" w:rsidRPr="00E871EF">
        <w:t xml:space="preserve"> For example, an NHS study of children and young people in England found that the proportion with a probable ‘mental disorder' had increased significantl</w:t>
      </w:r>
      <w:r w:rsidR="00F417F4">
        <w:t>y from one-in-10 in 2004 to one-in-</w:t>
      </w:r>
      <w:r w:rsidR="00E871EF" w:rsidRPr="00E871EF">
        <w:t>six by 2020.</w:t>
      </w:r>
      <w:r w:rsidRPr="000A4071">
        <w:rPr>
          <w:rStyle w:val="FootnoteReference"/>
        </w:rPr>
        <w:footnoteReference w:id="34"/>
      </w:r>
      <w:r w:rsidRPr="000A4071">
        <w:t xml:space="preserve"> </w:t>
      </w:r>
      <w:r w:rsidR="00E871EF">
        <w:t xml:space="preserve">This </w:t>
      </w:r>
      <w:r w:rsidRPr="000A4071">
        <w:t>means the level of need continues to outstrip the support available</w:t>
      </w:r>
      <w:r w:rsidR="0053750A">
        <w:t>, with, for example</w:t>
      </w:r>
      <w:r w:rsidR="00E871EF" w:rsidRPr="00E871EF">
        <w:t xml:space="preserve"> more than 63% of children and young people with a diagnosable mental health condition unable to access NHS-funded mental health services.</w:t>
      </w:r>
      <w:r>
        <w:rPr>
          <w:rStyle w:val="FootnoteReference"/>
        </w:rPr>
        <w:footnoteReference w:id="35"/>
      </w:r>
    </w:p>
    <w:p w14:paraId="7F489F37" w14:textId="1DCECA55" w:rsidR="00770C6F" w:rsidRDefault="00E25788" w:rsidP="006C1E0B">
      <w:pPr>
        <w:pStyle w:val="ListNumber"/>
        <w:numPr>
          <w:ilvl w:val="0"/>
          <w:numId w:val="0"/>
        </w:numPr>
      </w:pPr>
      <w:r w:rsidRPr="00E25788">
        <w:lastRenderedPageBreak/>
        <w:t>Reductions in</w:t>
      </w:r>
      <w:r w:rsidRPr="00E25788">
        <w:rPr>
          <w:b/>
        </w:rPr>
        <w:t xml:space="preserve"> </w:t>
      </w:r>
      <w:r w:rsidRPr="00E25788">
        <w:t>community support during the coronavirus pandemic</w:t>
      </w:r>
      <w:r w:rsidR="00476B46">
        <w:t xml:space="preserve"> </w:t>
      </w:r>
      <w:r w:rsidR="00476B46" w:rsidRPr="00E25788">
        <w:t>have led to significant unmet need</w:t>
      </w:r>
      <w:r w:rsidR="00476B46">
        <w:t>. F</w:t>
      </w:r>
      <w:r w:rsidR="00476B46" w:rsidRPr="00476B46">
        <w:t>or example, 42</w:t>
      </w:r>
      <w:r w:rsidR="00476B46">
        <w:t>%</w:t>
      </w:r>
      <w:r w:rsidR="00476B46" w:rsidRPr="00476B46">
        <w:t xml:space="preserve"> of people with pre-existing mental illnesses reported that their mental health had declined during the</w:t>
      </w:r>
      <w:r w:rsidR="00070C01">
        <w:t xml:space="preserve"> early part of the</w:t>
      </w:r>
      <w:r w:rsidR="00476B46" w:rsidRPr="00476B46">
        <w:t xml:space="preserve"> pandemic due to reduced support from mental health services.</w:t>
      </w:r>
      <w:r w:rsidRPr="00E25788">
        <w:rPr>
          <w:vertAlign w:val="superscript"/>
        </w:rPr>
        <w:footnoteReference w:id="36"/>
      </w:r>
      <w:r w:rsidRPr="00E25788">
        <w:t xml:space="preserve"> </w:t>
      </w:r>
      <w:r w:rsidR="00070C01">
        <w:t>T</w:t>
      </w:r>
      <w:r w:rsidRPr="00E25788">
        <w:t xml:space="preserve">he CQC reported </w:t>
      </w:r>
      <w:r w:rsidR="00070C01">
        <w:t xml:space="preserve">this </w:t>
      </w:r>
      <w:r w:rsidRPr="00E25788">
        <w:t>was resulting in a higher risk of detention and other ‘coercive pathways</w:t>
      </w:r>
      <w:r w:rsidR="00070C01">
        <w:t>’</w:t>
      </w:r>
      <w:r w:rsidRPr="00E25788">
        <w:t xml:space="preserve"> into mental health care.</w:t>
      </w:r>
      <w:r w:rsidRPr="00E25788">
        <w:rPr>
          <w:vertAlign w:val="superscript"/>
        </w:rPr>
        <w:footnoteReference w:id="37"/>
      </w:r>
      <w:r w:rsidRPr="00E25788">
        <w:t xml:space="preserve"> As community support was reduced, there was an increase in the proportion of first-time admissions under the Mental Health Act.</w:t>
      </w:r>
      <w:r w:rsidRPr="00E25788">
        <w:rPr>
          <w:vertAlign w:val="superscript"/>
        </w:rPr>
        <w:footnoteReference w:id="38"/>
      </w:r>
      <w:r w:rsidRPr="00E25788">
        <w:t xml:space="preserve"> Going into the second wave of the pandemic, mental health providers predicted a 20</w:t>
      </w:r>
      <w:r w:rsidR="003B0091">
        <w:t>%</w:t>
      </w:r>
      <w:r w:rsidRPr="00E25788">
        <w:t xml:space="preserve"> increase across their services, at the same time as an estimated 10</w:t>
      </w:r>
      <w:r w:rsidR="003B0091">
        <w:t>–</w:t>
      </w:r>
      <w:r w:rsidRPr="00E25788">
        <w:t>30</w:t>
      </w:r>
      <w:r w:rsidR="003B0091">
        <w:t>%</w:t>
      </w:r>
      <w:r w:rsidRPr="00E25788">
        <w:t xml:space="preserve"> reduction in capacity to care for patients.</w:t>
      </w:r>
      <w:r w:rsidRPr="00E25788">
        <w:rPr>
          <w:vertAlign w:val="superscript"/>
        </w:rPr>
        <w:footnoteReference w:id="39"/>
      </w:r>
      <w:r w:rsidRPr="00E25788">
        <w:t xml:space="preserve"> The Centre for Mental Health has predicted that up to 10 million people will need either new or additional mental health support as a result of the pandemic,</w:t>
      </w:r>
      <w:r w:rsidRPr="00E25788">
        <w:rPr>
          <w:vertAlign w:val="superscript"/>
        </w:rPr>
        <w:footnoteReference w:id="40"/>
      </w:r>
      <w:r w:rsidRPr="00E25788">
        <w:t xml:space="preserve"> and the NHS Confederation has expressed concern about high levels of staff burnout and exhaustion in the mental health workforce.</w:t>
      </w:r>
      <w:r w:rsidRPr="00E25788">
        <w:rPr>
          <w:vertAlign w:val="superscript"/>
        </w:rPr>
        <w:footnoteReference w:id="41"/>
      </w:r>
      <w:r w:rsidRPr="00E25788">
        <w:t xml:space="preserve"> </w:t>
      </w:r>
    </w:p>
    <w:p w14:paraId="1896BCEB" w14:textId="7BC120E5" w:rsidR="00D5070B" w:rsidRDefault="00E25788" w:rsidP="006C1E0B">
      <w:pPr>
        <w:pStyle w:val="ListNumber"/>
        <w:numPr>
          <w:ilvl w:val="0"/>
          <w:numId w:val="0"/>
        </w:numPr>
      </w:pPr>
      <w:r w:rsidRPr="00E25788">
        <w:lastRenderedPageBreak/>
        <w:t>We have raised concerns that changes in the operation of mental health tribunals during the pandemic could reduce people’s ability to challenge their detention and treatment.</w:t>
      </w:r>
      <w:r w:rsidRPr="00E25788">
        <w:rPr>
          <w:vertAlign w:val="superscript"/>
        </w:rPr>
        <w:footnoteReference w:id="42"/>
      </w:r>
      <w:r w:rsidRPr="00E25788">
        <w:t xml:space="preserve"> </w:t>
      </w:r>
      <w:r w:rsidR="00070C01" w:rsidRPr="00070C01">
        <w:t>The</w:t>
      </w:r>
      <w:r w:rsidR="00070C01">
        <w:t>y i</w:t>
      </w:r>
      <w:r w:rsidR="00070C01" w:rsidRPr="00070C01">
        <w:t>nclude remote working, suspension of pre-hearing examinations, extending the time allowed to list certain hearings, and allowing cases to be heard by a single judge rather than a panel.</w:t>
      </w:r>
      <w:r w:rsidR="00070C01">
        <w:t xml:space="preserve"> </w:t>
      </w:r>
      <w:r w:rsidRPr="00E25788">
        <w:t xml:space="preserve">The CQC has found that </w:t>
      </w:r>
      <w:r w:rsidR="00070C01">
        <w:t>some</w:t>
      </w:r>
      <w:r w:rsidR="00313AB5">
        <w:t xml:space="preserve"> of </w:t>
      </w:r>
      <w:r w:rsidRPr="00E25788">
        <w:t>these ‘major procedural changes’ are ‘likely to impact on patient safeguards and experience</w:t>
      </w:r>
      <w:r w:rsidR="00B21A13">
        <w:t>’</w:t>
      </w:r>
      <w:r w:rsidRPr="00E25788">
        <w:t>.</w:t>
      </w:r>
      <w:r w:rsidRPr="00E25788">
        <w:rPr>
          <w:vertAlign w:val="superscript"/>
        </w:rPr>
        <w:footnoteReference w:id="43"/>
      </w:r>
      <w:r>
        <w:t xml:space="preserve"> </w:t>
      </w:r>
      <w:r w:rsidRPr="00E25788">
        <w:t xml:space="preserve">Additionally, as at </w:t>
      </w:r>
      <w:r w:rsidR="006255DA">
        <w:t>April</w:t>
      </w:r>
      <w:r w:rsidR="006606F3" w:rsidRPr="00E25788">
        <w:t xml:space="preserve"> </w:t>
      </w:r>
      <w:r w:rsidRPr="00E25788">
        <w:t>2021,</w:t>
      </w:r>
      <w:r w:rsidR="006255DA">
        <w:rPr>
          <w:rStyle w:val="FootnoteReference"/>
        </w:rPr>
        <w:footnoteReference w:id="44"/>
      </w:r>
      <w:r w:rsidRPr="00E25788">
        <w:t xml:space="preserve"> </w:t>
      </w:r>
      <w:r w:rsidR="00B21A13">
        <w:t>the Department of Health and Social Care (</w:t>
      </w:r>
      <w:r w:rsidRPr="00E25788">
        <w:t>DHSC</w:t>
      </w:r>
      <w:r w:rsidR="00B21A13">
        <w:t>)</w:t>
      </w:r>
      <w:r w:rsidRPr="00E25788">
        <w:t xml:space="preserve"> and NHS England’s legal guidance on the operation of mental health services continues to allow ‘temporary departures from the [Mental Health Act] Code of Practice’.</w:t>
      </w:r>
      <w:r w:rsidRPr="00E25788">
        <w:rPr>
          <w:vertAlign w:val="superscript"/>
        </w:rPr>
        <w:footnoteReference w:id="45"/>
      </w:r>
      <w:r w:rsidRPr="00E25788">
        <w:t xml:space="preserve"> </w:t>
      </w:r>
      <w:r w:rsidR="00246503" w:rsidRPr="00246503">
        <w:t>This represents a potential significant erosion of a pathway to challenge detention. Any postponement or suspension of rights should be limited in duration as much as possible. We remain concerned that this guidance relaxes important safeguards against unnecessary detention for an undefined period.</w:t>
      </w:r>
    </w:p>
    <w:p w14:paraId="6BFE5ED1" w14:textId="77777777" w:rsidR="00770C6F" w:rsidRDefault="00770C6F" w:rsidP="006C1E0B">
      <w:pPr>
        <w:pStyle w:val="ListNumber"/>
        <w:numPr>
          <w:ilvl w:val="0"/>
          <w:numId w:val="0"/>
        </w:numPr>
        <w:ind w:left="567" w:hanging="567"/>
      </w:pPr>
    </w:p>
    <w:p w14:paraId="3A58D707" w14:textId="0DAD7B1A" w:rsidR="00E25788" w:rsidRDefault="00E25788" w:rsidP="006C1E0B">
      <w:pPr>
        <w:pStyle w:val="ListNumber"/>
        <w:numPr>
          <w:ilvl w:val="0"/>
          <w:numId w:val="0"/>
        </w:numPr>
      </w:pPr>
      <w:r w:rsidRPr="00E25788">
        <w:lastRenderedPageBreak/>
        <w:t>On 13 January 2021, the UK Government launched its white paper on reforming the Mental Health Act</w:t>
      </w:r>
      <w:r w:rsidR="007A37C1">
        <w:t xml:space="preserve"> for consultation</w:t>
      </w:r>
      <w:r w:rsidRPr="00E25788">
        <w:t xml:space="preserve">, following an </w:t>
      </w:r>
      <w:r w:rsidR="008354D4">
        <w:t>i</w:t>
      </w:r>
      <w:r w:rsidRPr="00E25788">
        <w:t xml:space="preserve">ndependent </w:t>
      </w:r>
      <w:r w:rsidR="008354D4">
        <w:t>r</w:t>
      </w:r>
      <w:r w:rsidRPr="00E25788">
        <w:t xml:space="preserve">eview </w:t>
      </w:r>
      <w:r w:rsidR="008354D4">
        <w:t>that</w:t>
      </w:r>
      <w:r w:rsidRPr="00E25788">
        <w:t xml:space="preserve"> reported in 2018.</w:t>
      </w:r>
      <w:r w:rsidR="007B64AB">
        <w:t xml:space="preserve"> </w:t>
      </w:r>
      <w:r w:rsidR="007B64AB" w:rsidRPr="007B64AB">
        <w:t>The review looked at rising rates of detention, the disproportionate detention of people from ethnic minority groups, and concerns that the law is out of step with a modern mental health system. It made recommendations for reform to reduce detention rates and ensure that mental health care is provided in the least restrictive setting, with people free to choose when, where and how they receive treatment.</w:t>
      </w:r>
      <w:r w:rsidRPr="00E25788">
        <w:rPr>
          <w:vertAlign w:val="superscript"/>
        </w:rPr>
        <w:footnoteReference w:id="46"/>
      </w:r>
      <w:r w:rsidRPr="00E25788">
        <w:t xml:space="preserve"> The white paper proposes a ‘wide range of changes to rebalance the Mental Health Act, to put patients at the centre of decisions about their own care and ensure everyone is treated equally</w:t>
      </w:r>
      <w:r w:rsidR="008354D4">
        <w:t>’</w:t>
      </w:r>
      <w:r w:rsidRPr="00E25788">
        <w:t>.</w:t>
      </w:r>
      <w:r w:rsidRPr="00E25788">
        <w:rPr>
          <w:vertAlign w:val="superscript"/>
        </w:rPr>
        <w:footnoteReference w:id="47"/>
      </w:r>
      <w:r w:rsidRPr="00E25788">
        <w:t xml:space="preserve"> </w:t>
      </w:r>
      <w:r w:rsidR="006255DA">
        <w:t>While t</w:t>
      </w:r>
      <w:r w:rsidRPr="00E25788">
        <w:t xml:space="preserve">he white paper contains several positive measures designed to minimise institutionalisation, </w:t>
      </w:r>
      <w:r w:rsidR="006255DA">
        <w:t>it</w:t>
      </w:r>
      <w:r w:rsidR="006255DA" w:rsidRPr="00E25788">
        <w:t xml:space="preserve"> </w:t>
      </w:r>
      <w:r w:rsidRPr="00E25788">
        <w:t>does not reference or explicitly recognise the right to independent living.</w:t>
      </w:r>
      <w:r w:rsidR="006255DA">
        <w:t xml:space="preserve"> Our response to the whit</w:t>
      </w:r>
      <w:r w:rsidR="00FE0790">
        <w:t xml:space="preserve">e paper recommends that a new Mental Health Bill include provisions to achieve </w:t>
      </w:r>
      <w:r w:rsidR="00FE0790" w:rsidRPr="00FE0790">
        <w:t>better realisation of disabled people’s right to live independently as part of their communities.</w:t>
      </w:r>
      <w:r w:rsidR="007E5DCC">
        <w:rPr>
          <w:rStyle w:val="FootnoteReference"/>
        </w:rPr>
        <w:footnoteReference w:id="48"/>
      </w:r>
      <w:r w:rsidRPr="00E25788">
        <w:t xml:space="preserve"> However, a new mental health bill is not expected until 2022.</w:t>
      </w:r>
      <w:r w:rsidRPr="00E25788">
        <w:rPr>
          <w:vertAlign w:val="superscript"/>
        </w:rPr>
        <w:footnoteReference w:id="49"/>
      </w:r>
    </w:p>
    <w:p w14:paraId="2116051A" w14:textId="77777777" w:rsidR="00FE2687" w:rsidRPr="00E25788" w:rsidRDefault="00FE2687" w:rsidP="006C1E0B">
      <w:pPr>
        <w:pStyle w:val="ListNumber"/>
        <w:numPr>
          <w:ilvl w:val="0"/>
          <w:numId w:val="0"/>
        </w:numPr>
        <w:ind w:left="567"/>
      </w:pPr>
    </w:p>
    <w:p w14:paraId="4712756B" w14:textId="42F35063" w:rsidR="00E25788" w:rsidRPr="000A4071" w:rsidRDefault="00E25788" w:rsidP="006C1E0B">
      <w:pPr>
        <w:pStyle w:val="ListNumber"/>
        <w:numPr>
          <w:ilvl w:val="0"/>
          <w:numId w:val="0"/>
        </w:numPr>
      </w:pPr>
      <w:r w:rsidRPr="000A4071">
        <w:t>People detained under the Mental Health Act continue to be at significant risk of restraint and other restrictive interventions,</w:t>
      </w:r>
      <w:r w:rsidRPr="000A4071">
        <w:rPr>
          <w:rStyle w:val="FootnoteReference"/>
          <w:rFonts w:ascii="Arial" w:hAnsi="Arial" w:cs="Arial"/>
          <w:szCs w:val="24"/>
        </w:rPr>
        <w:footnoteReference w:id="50"/>
      </w:r>
      <w:r w:rsidRPr="000A4071">
        <w:t xml:space="preserve"> including chemical, mechanical and physical forms of control, coercion and enforced isolation.</w:t>
      </w:r>
      <w:r w:rsidRPr="000A4071">
        <w:rPr>
          <w:rStyle w:val="FootnoteReference"/>
          <w:rFonts w:ascii="Arial" w:hAnsi="Arial" w:cs="Arial"/>
          <w:szCs w:val="24"/>
        </w:rPr>
        <w:footnoteReference w:id="51"/>
      </w:r>
      <w:r w:rsidRPr="000A4071">
        <w:t xml:space="preserve"> In 201</w:t>
      </w:r>
      <w:r w:rsidR="00A824C3">
        <w:t>9–</w:t>
      </w:r>
      <w:r>
        <w:t>20</w:t>
      </w:r>
      <w:r w:rsidRPr="000A4071">
        <w:t xml:space="preserve">, there were a total of </w:t>
      </w:r>
      <w:r>
        <w:t>131,338</w:t>
      </w:r>
      <w:r w:rsidRPr="000A4071">
        <w:t xml:space="preserve"> restrictive interventions in England, including 1</w:t>
      </w:r>
      <w:r>
        <w:t>2,318</w:t>
      </w:r>
      <w:r w:rsidRPr="000A4071">
        <w:t xml:space="preserve"> uses of prone restraint and </w:t>
      </w:r>
      <w:r>
        <w:t>11,594</w:t>
      </w:r>
      <w:r w:rsidRPr="000A4071">
        <w:t xml:space="preserve"> instances of seclusion.</w:t>
      </w:r>
      <w:r w:rsidRPr="000A4071">
        <w:rPr>
          <w:rStyle w:val="FootnoteReference"/>
          <w:rFonts w:ascii="Arial" w:hAnsi="Arial" w:cs="Arial"/>
          <w:szCs w:val="24"/>
        </w:rPr>
        <w:footnoteReference w:id="52"/>
      </w:r>
    </w:p>
    <w:p w14:paraId="1974BD33" w14:textId="77777777" w:rsidR="00770C6F" w:rsidRDefault="00770C6F" w:rsidP="006C1E0B">
      <w:pPr>
        <w:pStyle w:val="ListNumber"/>
        <w:numPr>
          <w:ilvl w:val="0"/>
          <w:numId w:val="0"/>
        </w:numPr>
        <w:ind w:left="567" w:hanging="567"/>
      </w:pPr>
    </w:p>
    <w:p w14:paraId="1AFBAD09" w14:textId="5125504D" w:rsidR="00E25788" w:rsidRDefault="00E25788" w:rsidP="00E25788">
      <w:pPr>
        <w:pStyle w:val="ListNumber"/>
        <w:numPr>
          <w:ilvl w:val="0"/>
          <w:numId w:val="0"/>
        </w:numPr>
      </w:pPr>
      <w:r w:rsidRPr="00E25788">
        <w:t>In November 2018, the Mental Health Units (Use of Force) Act received royal assent.</w:t>
      </w:r>
      <w:r w:rsidRPr="00E25788">
        <w:rPr>
          <w:vertAlign w:val="superscript"/>
        </w:rPr>
        <w:footnoteReference w:id="53"/>
      </w:r>
      <w:r w:rsidRPr="00E25788">
        <w:t xml:space="preserve"> The Act is designed to reduce the use of force and restraint in mental health hospitals by improving accountability, training and monitoring.</w:t>
      </w:r>
      <w:r w:rsidR="000D402B">
        <w:t xml:space="preserve"> </w:t>
      </w:r>
      <w:r w:rsidRPr="00E25788">
        <w:t>However, at the time of writing, more than two years after receiving royal assent, the Act has still not been brought into force.</w:t>
      </w:r>
      <w:r w:rsidRPr="00E25788">
        <w:rPr>
          <w:vertAlign w:val="superscript"/>
        </w:rPr>
        <w:footnoteReference w:id="54"/>
      </w:r>
      <w:r w:rsidRPr="00E25788">
        <w:t xml:space="preserve"> </w:t>
      </w:r>
    </w:p>
    <w:p w14:paraId="5A166749" w14:textId="00FAD9E9" w:rsidR="00E25788" w:rsidRPr="000A4071" w:rsidRDefault="00E25788" w:rsidP="00E25788">
      <w:pPr>
        <w:pStyle w:val="Heading2"/>
      </w:pPr>
      <w:bookmarkStart w:id="38" w:name="_Toc66343448"/>
      <w:bookmarkStart w:id="39" w:name="_Toc71213919"/>
      <w:r w:rsidRPr="000A4071">
        <w:t>Mental Capacity (Amendment) Act</w:t>
      </w:r>
      <w:bookmarkEnd w:id="38"/>
      <w:bookmarkEnd w:id="39"/>
    </w:p>
    <w:p w14:paraId="02C720E4" w14:textId="77777777" w:rsidR="00770C6F" w:rsidRDefault="00770C6F" w:rsidP="006C1E0B">
      <w:pPr>
        <w:pStyle w:val="ListNumber"/>
        <w:numPr>
          <w:ilvl w:val="0"/>
          <w:numId w:val="0"/>
        </w:numPr>
        <w:ind w:left="567" w:hanging="567"/>
      </w:pPr>
    </w:p>
    <w:p w14:paraId="61C4863C" w14:textId="52F5E2BA" w:rsidR="00FE2687" w:rsidRDefault="00E25788" w:rsidP="006C1E0B">
      <w:pPr>
        <w:pStyle w:val="ListNumber"/>
        <w:numPr>
          <w:ilvl w:val="0"/>
          <w:numId w:val="0"/>
        </w:numPr>
      </w:pPr>
      <w:r w:rsidRPr="00E25788">
        <w:t>It is important that disabled people’s right to live independently as part of the community is not undermined if they are deemed to lose or lack mental capacity. Support for people to express their wishes and preferences, including through timely access to appropriate and effective advocacy, and the use of advance decision</w:t>
      </w:r>
      <w:r w:rsidR="0053102B">
        <w:t xml:space="preserve"> </w:t>
      </w:r>
      <w:r w:rsidRPr="00E25788">
        <w:t>making, is crucial to ensure they retain choice and control over their living arrangements.</w:t>
      </w:r>
    </w:p>
    <w:p w14:paraId="79336C3B" w14:textId="64CE84AB" w:rsidR="00E25788" w:rsidRDefault="00E25788" w:rsidP="006C1E0B">
      <w:pPr>
        <w:pStyle w:val="ListNumber"/>
        <w:numPr>
          <w:ilvl w:val="0"/>
          <w:numId w:val="0"/>
        </w:numPr>
        <w:ind w:left="567"/>
      </w:pPr>
      <w:r w:rsidRPr="00E25788">
        <w:t xml:space="preserve"> </w:t>
      </w:r>
    </w:p>
    <w:p w14:paraId="2C860BA3" w14:textId="494F8E48" w:rsidR="00E25788" w:rsidRDefault="00E25788" w:rsidP="006C1E0B">
      <w:pPr>
        <w:pStyle w:val="ListNumber"/>
        <w:numPr>
          <w:ilvl w:val="0"/>
          <w:numId w:val="0"/>
        </w:numPr>
        <w:rPr>
          <w:shd w:val="clear" w:color="auto" w:fill="FFFFFF"/>
        </w:rPr>
      </w:pPr>
      <w:r w:rsidRPr="000A4071">
        <w:t>In May 2019, the Mental Capacity (Amendment) Act received royal assent.</w:t>
      </w:r>
      <w:r w:rsidRPr="000A4071">
        <w:rPr>
          <w:rStyle w:val="FootnoteReference"/>
          <w:rFonts w:ascii="Arial" w:hAnsi="Arial" w:cs="Arial"/>
          <w:szCs w:val="24"/>
        </w:rPr>
        <w:footnoteReference w:id="55"/>
      </w:r>
      <w:r w:rsidRPr="000A4071">
        <w:t xml:space="preserve"> The Act introduced a new model </w:t>
      </w:r>
      <w:r>
        <w:t xml:space="preserve">in England and Wales </w:t>
      </w:r>
      <w:r w:rsidRPr="000A4071">
        <w:t>for authorising deprivations of liberty – the Liberty Protection Safeguards –</w:t>
      </w:r>
      <w:r w:rsidR="0053102B">
        <w:t xml:space="preserve"> </w:t>
      </w:r>
      <w:r w:rsidRPr="000A4071">
        <w:rPr>
          <w:shd w:val="clear" w:color="auto" w:fill="FFFFFF"/>
        </w:rPr>
        <w:t>to provide care or treatment to individual</w:t>
      </w:r>
      <w:r>
        <w:rPr>
          <w:shd w:val="clear" w:color="auto" w:fill="FFFFFF"/>
        </w:rPr>
        <w:t>s</w:t>
      </w:r>
      <w:r w:rsidRPr="000A4071">
        <w:rPr>
          <w:shd w:val="clear" w:color="auto" w:fill="FFFFFF"/>
        </w:rPr>
        <w:t xml:space="preserve"> who lack capacity to consent to </w:t>
      </w:r>
      <w:r>
        <w:rPr>
          <w:shd w:val="clear" w:color="auto" w:fill="FFFFFF"/>
        </w:rPr>
        <w:t>those</w:t>
      </w:r>
      <w:r w:rsidRPr="000A4071">
        <w:rPr>
          <w:shd w:val="clear" w:color="auto" w:fill="FFFFFF"/>
        </w:rPr>
        <w:t xml:space="preserve"> arrangements. </w:t>
      </w:r>
      <w:r>
        <w:rPr>
          <w:shd w:val="clear" w:color="auto" w:fill="FFFFFF"/>
        </w:rPr>
        <w:t xml:space="preserve">This responded to widespread concerns about the existing </w:t>
      </w:r>
      <w:r w:rsidR="0094551A">
        <w:rPr>
          <w:shd w:val="clear" w:color="auto" w:fill="FFFFFF"/>
        </w:rPr>
        <w:t>D</w:t>
      </w:r>
      <w:r>
        <w:rPr>
          <w:shd w:val="clear" w:color="auto" w:fill="FFFFFF"/>
        </w:rPr>
        <w:t xml:space="preserve">eprivation of </w:t>
      </w:r>
      <w:r w:rsidR="0094551A">
        <w:rPr>
          <w:shd w:val="clear" w:color="auto" w:fill="FFFFFF"/>
        </w:rPr>
        <w:t>L</w:t>
      </w:r>
      <w:r>
        <w:rPr>
          <w:shd w:val="clear" w:color="auto" w:fill="FFFFFF"/>
        </w:rPr>
        <w:t xml:space="preserve">iberty </w:t>
      </w:r>
      <w:r w:rsidR="0094551A">
        <w:rPr>
          <w:shd w:val="clear" w:color="auto" w:fill="FFFFFF"/>
        </w:rPr>
        <w:t>S</w:t>
      </w:r>
      <w:r>
        <w:rPr>
          <w:shd w:val="clear" w:color="auto" w:fill="FFFFFF"/>
        </w:rPr>
        <w:t>afeguards</w:t>
      </w:r>
      <w:r w:rsidR="000D402B">
        <w:rPr>
          <w:shd w:val="clear" w:color="auto" w:fill="FFFFFF"/>
        </w:rPr>
        <w:t xml:space="preserve">, including a </w:t>
      </w:r>
      <w:r w:rsidR="000D402B" w:rsidRPr="000D402B">
        <w:rPr>
          <w:shd w:val="clear" w:color="auto" w:fill="FFFFFF"/>
        </w:rPr>
        <w:t>Law Commission recommend</w:t>
      </w:r>
      <w:r w:rsidR="000D402B">
        <w:rPr>
          <w:shd w:val="clear" w:color="auto" w:fill="FFFFFF"/>
        </w:rPr>
        <w:t>ation</w:t>
      </w:r>
      <w:r w:rsidR="000D402B" w:rsidRPr="000D402B">
        <w:rPr>
          <w:shd w:val="clear" w:color="auto" w:fill="FFFFFF"/>
        </w:rPr>
        <w:t xml:space="preserve"> that the</w:t>
      </w:r>
      <w:r w:rsidR="000D402B">
        <w:rPr>
          <w:shd w:val="clear" w:color="auto" w:fill="FFFFFF"/>
        </w:rPr>
        <w:t>se</w:t>
      </w:r>
      <w:r w:rsidR="000D402B" w:rsidRPr="000D402B">
        <w:rPr>
          <w:shd w:val="clear" w:color="auto" w:fill="FFFFFF"/>
        </w:rPr>
        <w:t xml:space="preserve"> </w:t>
      </w:r>
      <w:r w:rsidR="000D402B">
        <w:rPr>
          <w:shd w:val="clear" w:color="auto" w:fill="FFFFFF"/>
        </w:rPr>
        <w:t>‘</w:t>
      </w:r>
      <w:r w:rsidR="000D402B" w:rsidRPr="000D402B">
        <w:rPr>
          <w:shd w:val="clear" w:color="auto" w:fill="FFFFFF"/>
        </w:rPr>
        <w:t>should be replaced as a matter of pressing urgency</w:t>
      </w:r>
      <w:r w:rsidR="000D402B">
        <w:rPr>
          <w:shd w:val="clear" w:color="auto" w:fill="FFFFFF"/>
        </w:rPr>
        <w:t>’</w:t>
      </w:r>
      <w:r w:rsidR="000D402B" w:rsidRPr="000D402B">
        <w:rPr>
          <w:shd w:val="clear" w:color="auto" w:fill="FFFFFF"/>
        </w:rPr>
        <w:t>.</w:t>
      </w:r>
      <w:r>
        <w:rPr>
          <w:rStyle w:val="FootnoteReference"/>
          <w:rFonts w:ascii="Arial" w:hAnsi="Arial" w:cs="Arial"/>
          <w:szCs w:val="24"/>
          <w:shd w:val="clear" w:color="auto" w:fill="FFFFFF"/>
        </w:rPr>
        <w:footnoteReference w:id="56"/>
      </w:r>
      <w:r>
        <w:rPr>
          <w:shd w:val="clear" w:color="auto" w:fill="FFFFFF"/>
        </w:rPr>
        <w:t xml:space="preserve"> </w:t>
      </w:r>
      <w:r w:rsidRPr="000A4071">
        <w:rPr>
          <w:shd w:val="clear" w:color="auto" w:fill="FFFFFF"/>
        </w:rPr>
        <w:t>The implementation of the Liberty Protection Safeguards has been delayed until April 2022.</w:t>
      </w:r>
      <w:r w:rsidRPr="000A4071">
        <w:rPr>
          <w:rStyle w:val="FootnoteReference"/>
          <w:rFonts w:ascii="Arial" w:hAnsi="Arial" w:cs="Arial"/>
          <w:szCs w:val="24"/>
          <w:shd w:val="clear" w:color="auto" w:fill="FFFFFF"/>
        </w:rPr>
        <w:footnoteReference w:id="57"/>
      </w:r>
    </w:p>
    <w:p w14:paraId="07E5859A" w14:textId="77777777" w:rsidR="00FE2687" w:rsidRPr="00741E08" w:rsidRDefault="00FE2687" w:rsidP="006C1E0B">
      <w:pPr>
        <w:pStyle w:val="ListNumber"/>
        <w:numPr>
          <w:ilvl w:val="0"/>
          <w:numId w:val="0"/>
        </w:numPr>
        <w:rPr>
          <w:shd w:val="clear" w:color="auto" w:fill="FFFFFF"/>
        </w:rPr>
      </w:pPr>
    </w:p>
    <w:p w14:paraId="6D67D8DD" w14:textId="50E42065" w:rsidR="00E25788" w:rsidRDefault="00E25788" w:rsidP="00A0420B">
      <w:pPr>
        <w:pStyle w:val="Heading3"/>
      </w:pPr>
      <w:r w:rsidRPr="00E25788">
        <w:lastRenderedPageBreak/>
        <w:t>Recommendations</w:t>
      </w:r>
    </w:p>
    <w:p w14:paraId="401E0153" w14:textId="66BD8450" w:rsidR="00E25788" w:rsidRPr="005A6C22" w:rsidRDefault="00E25788" w:rsidP="00A0420B">
      <w:pPr>
        <w:pStyle w:val="ListBullet3"/>
      </w:pPr>
      <w:r w:rsidRPr="005A6C22">
        <w:t xml:space="preserve">The Department of Health and Social Care </w:t>
      </w:r>
      <w:r w:rsidR="006A43A1">
        <w:t xml:space="preserve">(DHSC) </w:t>
      </w:r>
      <w:r w:rsidRPr="005A6C22">
        <w:t>should continue to increase and embed oversight of the Transforming Care programme, develop accountability measures and consider implementing structural changes to ensure it meets targets on moving</w:t>
      </w:r>
      <w:r w:rsidRPr="005A6C22">
        <w:rPr>
          <w:shd w:val="clear" w:color="auto" w:fill="FFFFFF"/>
        </w:rPr>
        <w:t xml:space="preserve"> patients from inappropriate inpatient care to community-based settings, and reduce the reliance on inpatient care for people with learning disabilities and</w:t>
      </w:r>
      <w:r w:rsidR="006A43A1">
        <w:rPr>
          <w:shd w:val="clear" w:color="auto" w:fill="FFFFFF"/>
        </w:rPr>
        <w:t>/or</w:t>
      </w:r>
      <w:r w:rsidRPr="005A6C22">
        <w:rPr>
          <w:shd w:val="clear" w:color="auto" w:fill="FFFFFF"/>
        </w:rPr>
        <w:t xml:space="preserve"> autism.</w:t>
      </w:r>
    </w:p>
    <w:p w14:paraId="73449BC5" w14:textId="377025A1" w:rsidR="00E25788" w:rsidRPr="005A6C22" w:rsidRDefault="00E25788" w:rsidP="00A0420B">
      <w:pPr>
        <w:pStyle w:val="ListBullet3"/>
      </w:pPr>
      <w:r w:rsidRPr="005A6C22">
        <w:t xml:space="preserve">The UK Government should bring forward reforms to the Mental Health Act without delay, and implement non-legislative measures, including providing sufficient preventative and community-based support, to ensure people with mental health conditions, learning disabilities and autism can access care in the least restrictive setting possible and avoid unnecessary detention. The </w:t>
      </w:r>
      <w:r w:rsidR="006A43A1">
        <w:t xml:space="preserve">UK </w:t>
      </w:r>
      <w:r w:rsidRPr="005A6C22">
        <w:t>Government should take into account any increased mental health needs arising from the pandemic.</w:t>
      </w:r>
    </w:p>
    <w:p w14:paraId="113ACE45" w14:textId="0C124B62" w:rsidR="00E25788" w:rsidRPr="005A6C22" w:rsidRDefault="00E25788" w:rsidP="00A0420B">
      <w:pPr>
        <w:pStyle w:val="ListBullet3"/>
      </w:pPr>
      <w:r w:rsidRPr="005A6C22">
        <w:t xml:space="preserve">The UK Government should implement the Mental Health Units (Use of Force) Act </w:t>
      </w:r>
      <w:r w:rsidR="006A43A1">
        <w:t xml:space="preserve">2018 </w:t>
      </w:r>
      <w:r w:rsidRPr="005A6C22">
        <w:t xml:space="preserve">without delay and work with partners to reduce the use of restraint and restrictive interventions, including by promoting use of </w:t>
      </w:r>
      <w:r w:rsidR="006A43A1">
        <w:t xml:space="preserve">our </w:t>
      </w:r>
      <w:r w:rsidRPr="005A6C22">
        <w:t>human rights framework on the use of restraint.</w:t>
      </w:r>
      <w:r w:rsidRPr="005A6C22">
        <w:rPr>
          <w:rStyle w:val="FootnoteReference"/>
          <w:rFonts w:ascii="Arial" w:eastAsiaTheme="minorEastAsia" w:hAnsi="Arial" w:cs="Arial"/>
          <w:bCs/>
          <w:szCs w:val="24"/>
        </w:rPr>
        <w:footnoteReference w:id="58"/>
      </w:r>
    </w:p>
    <w:p w14:paraId="1807F380" w14:textId="77777777" w:rsidR="00E25788" w:rsidRPr="005A6C22" w:rsidRDefault="00E25788" w:rsidP="00A0420B">
      <w:pPr>
        <w:pStyle w:val="ListBullet3"/>
      </w:pPr>
      <w:r w:rsidRPr="005A6C22">
        <w:rPr>
          <w:shd w:val="clear" w:color="auto" w:fill="FFFFFF"/>
        </w:rPr>
        <w:t xml:space="preserve">The UK Government should implement the Mental Capacity (Amendment) Act 2019 with clear statutory guidance that is centred on the principles of choice and control and that respects, protects and fulfils the UK’s wider human rights obligations under the CRPD. </w:t>
      </w:r>
    </w:p>
    <w:p w14:paraId="553E7947" w14:textId="2F26F12D" w:rsidR="00E25788" w:rsidRDefault="00E25788" w:rsidP="00E25788">
      <w:pPr>
        <w:pStyle w:val="Heading1"/>
      </w:pPr>
      <w:bookmarkStart w:id="41" w:name="_Toc71213920"/>
      <w:r>
        <w:lastRenderedPageBreak/>
        <w:t>Access to support services</w:t>
      </w:r>
      <w:bookmarkEnd w:id="41"/>
    </w:p>
    <w:p w14:paraId="13BD1BFD" w14:textId="22F08AC6" w:rsidR="002457EB" w:rsidRDefault="0094551A" w:rsidP="002457EB">
      <w:pPr>
        <w:pStyle w:val="Boxtext"/>
        <w:rPr>
          <w:b/>
        </w:rPr>
      </w:pPr>
      <w:bookmarkStart w:id="42" w:name="_Hlk66462309"/>
      <w:r>
        <w:rPr>
          <w:b/>
        </w:rPr>
        <w:t xml:space="preserve">UN </w:t>
      </w:r>
      <w:r w:rsidR="002457EB" w:rsidRPr="002457EB">
        <w:rPr>
          <w:b/>
        </w:rPr>
        <w:t>CRPD – Article 19(b):</w:t>
      </w:r>
    </w:p>
    <w:p w14:paraId="2BB7D10F" w14:textId="247AB05F" w:rsidR="00E25788" w:rsidRPr="00E25788" w:rsidRDefault="0094551A" w:rsidP="002457EB">
      <w:pPr>
        <w:pStyle w:val="Boxtext"/>
      </w:pPr>
      <w:r>
        <w:t>‘</w:t>
      </w:r>
      <w:r w:rsidR="002457EB" w:rsidRPr="002457EB">
        <w:t>[States Parties shall ensure that] Persons with disabilities have access to a range of in-home, residential and other community support services, including personal assistance necessary to support living and inclusion in the community, and to prevent isolation or segregation from the community</w:t>
      </w:r>
      <w:r>
        <w:t>’</w:t>
      </w:r>
    </w:p>
    <w:bookmarkEnd w:id="42"/>
    <w:p w14:paraId="401FC714" w14:textId="229B2722" w:rsidR="002457EB" w:rsidRDefault="002457EB" w:rsidP="006C1E0B">
      <w:pPr>
        <w:pStyle w:val="ListNumber"/>
        <w:numPr>
          <w:ilvl w:val="0"/>
          <w:numId w:val="0"/>
        </w:numPr>
      </w:pPr>
      <w:r w:rsidRPr="002457EB">
        <w:t xml:space="preserve">Under the CRPD, the provision of personalised support services to enable independent living and inclusion in the community must be considered both as a right in itself and a precondition for independent living. Disabled people have the right to choose services according to their individual requirements and personal preferences, </w:t>
      </w:r>
      <w:r w:rsidR="006A43A1">
        <w:t>and services</w:t>
      </w:r>
      <w:r w:rsidRPr="002457EB">
        <w:t xml:space="preserve"> should be flexible to meet their needs. However, there is evidence that many disabled people face increasing barriers in accessing the support and care they need.</w:t>
      </w:r>
    </w:p>
    <w:p w14:paraId="37528001" w14:textId="73056A65" w:rsidR="002457EB" w:rsidRPr="002457EB" w:rsidRDefault="002457EB" w:rsidP="002457EB">
      <w:pPr>
        <w:pStyle w:val="Heading2"/>
      </w:pPr>
      <w:bookmarkStart w:id="43" w:name="_Toc71213921"/>
      <w:r>
        <w:t>Provision of adult social care</w:t>
      </w:r>
      <w:bookmarkEnd w:id="43"/>
    </w:p>
    <w:p w14:paraId="45FA7687" w14:textId="77777777" w:rsidR="00770C6F" w:rsidRDefault="00770C6F" w:rsidP="006C1E0B">
      <w:pPr>
        <w:pStyle w:val="ListNumber"/>
        <w:numPr>
          <w:ilvl w:val="0"/>
          <w:numId w:val="0"/>
        </w:numPr>
        <w:ind w:left="567"/>
      </w:pPr>
    </w:p>
    <w:p w14:paraId="4C8509B8" w14:textId="6B06F874" w:rsidR="002457EB" w:rsidRDefault="002457EB" w:rsidP="006C1E0B">
      <w:pPr>
        <w:pStyle w:val="ListNumber"/>
        <w:numPr>
          <w:ilvl w:val="0"/>
          <w:numId w:val="0"/>
        </w:numPr>
      </w:pPr>
      <w:r w:rsidRPr="002457EB">
        <w:t xml:space="preserve">The Care Act 2014 </w:t>
      </w:r>
      <w:r w:rsidR="0094551A">
        <w:t xml:space="preserve">aimed </w:t>
      </w:r>
      <w:r w:rsidRPr="002457EB">
        <w:t>to provide a more personalised approach to care, with a greater emphasis on promoting wellbeing</w:t>
      </w:r>
      <w:r w:rsidR="0094551A">
        <w:t xml:space="preserve"> and independence</w:t>
      </w:r>
      <w:r w:rsidR="0072517E">
        <w:t xml:space="preserve"> – </w:t>
      </w:r>
      <w:r w:rsidR="0094551A">
        <w:t xml:space="preserve">the </w:t>
      </w:r>
      <w:r w:rsidR="0094551A" w:rsidRPr="0094551A">
        <w:t>wellbeing principle of the Act intended to cover the key components of independent living, as expressed in Article 19 of the CRPD.</w:t>
      </w:r>
      <w:r w:rsidRPr="002457EB">
        <w:rPr>
          <w:vertAlign w:val="superscript"/>
        </w:rPr>
        <w:footnoteReference w:id="59"/>
      </w:r>
      <w:r w:rsidRPr="002457EB">
        <w:t xml:space="preserve"> However, the adult social care sector in England is under significant pressure, which means that many disabled and older people are left without the vital support they need to live independently as part of the community.</w:t>
      </w:r>
      <w:r w:rsidRPr="002457EB">
        <w:rPr>
          <w:vertAlign w:val="superscript"/>
        </w:rPr>
        <w:footnoteReference w:id="60"/>
      </w:r>
      <w:r w:rsidRPr="002457EB">
        <w:t xml:space="preserve"> </w:t>
      </w:r>
    </w:p>
    <w:p w14:paraId="67133AB5" w14:textId="1A3E4554" w:rsidR="002457EB" w:rsidRDefault="002457EB" w:rsidP="006C1E0B">
      <w:pPr>
        <w:pStyle w:val="ListNumber"/>
        <w:numPr>
          <w:ilvl w:val="0"/>
          <w:numId w:val="0"/>
        </w:numPr>
        <w:rPr>
          <w:color w:val="0B0C0C"/>
        </w:rPr>
      </w:pPr>
      <w:r w:rsidRPr="000A4071">
        <w:lastRenderedPageBreak/>
        <w:t>Since 2010, rising demand and substantial reductions in government funding have led to increased levels of unmet need.</w:t>
      </w:r>
      <w:r w:rsidRPr="000A4071">
        <w:rPr>
          <w:rStyle w:val="FootnoteReference"/>
          <w:rFonts w:ascii="Arial" w:hAnsi="Arial" w:cs="Arial"/>
          <w:color w:val="000000"/>
          <w:szCs w:val="24"/>
        </w:rPr>
        <w:footnoteReference w:id="61"/>
      </w:r>
      <w:r w:rsidRPr="000A4071">
        <w:t xml:space="preserve"> Requests for adult social care in England increased by 5.7</w:t>
      </w:r>
      <w:r w:rsidR="00943ABC">
        <w:t>%</w:t>
      </w:r>
      <w:r w:rsidRPr="000A4071">
        <w:t xml:space="preserve"> between 2015</w:t>
      </w:r>
      <w:r w:rsidR="0072517E">
        <w:t>–</w:t>
      </w:r>
      <w:r w:rsidRPr="000A4071">
        <w:t>6 and 2019</w:t>
      </w:r>
      <w:r w:rsidR="0072517E">
        <w:t>–</w:t>
      </w:r>
      <w:r w:rsidRPr="000A4071">
        <w:rPr>
          <w:color w:val="0B0C0C"/>
        </w:rPr>
        <w:t xml:space="preserve">20, </w:t>
      </w:r>
      <w:r>
        <w:rPr>
          <w:color w:val="0B0C0C"/>
        </w:rPr>
        <w:t>while the number of people receiving support reduced by 18,000</w:t>
      </w:r>
      <w:r w:rsidR="00E27CF0">
        <w:rPr>
          <w:color w:val="0B0C0C"/>
        </w:rPr>
        <w:t>.</w:t>
      </w:r>
      <w:r w:rsidRPr="000A4071">
        <w:rPr>
          <w:rStyle w:val="FootnoteReference"/>
          <w:rFonts w:ascii="Arial" w:hAnsi="Arial" w:cs="Arial"/>
          <w:color w:val="0B0C0C"/>
          <w:szCs w:val="24"/>
        </w:rPr>
        <w:footnoteReference w:id="62"/>
      </w:r>
      <w:r w:rsidRPr="000A4071">
        <w:rPr>
          <w:color w:val="0B0C0C"/>
        </w:rPr>
        <w:t xml:space="preserve"> In 2019</w:t>
      </w:r>
      <w:r w:rsidR="00943ABC">
        <w:rPr>
          <w:color w:val="0B0C0C"/>
        </w:rPr>
        <w:t>,</w:t>
      </w:r>
      <w:r>
        <w:rPr>
          <w:color w:val="0B0C0C"/>
        </w:rPr>
        <w:t xml:space="preserve"> </w:t>
      </w:r>
      <w:r w:rsidRPr="000A4071">
        <w:t>Age UK estimated that 1.</w:t>
      </w:r>
      <w:r>
        <w:t>5</w:t>
      </w:r>
      <w:r w:rsidRPr="000A4071">
        <w:t>4 million older people in England were not getting the care they want</w:t>
      </w:r>
      <w:r>
        <w:t>ed</w:t>
      </w:r>
      <w:r w:rsidRPr="000A4071">
        <w:t xml:space="preserve"> or need</w:t>
      </w:r>
      <w:r>
        <w:t>ed</w:t>
      </w:r>
      <w:r w:rsidRPr="0072517E">
        <w:rPr>
          <w:rStyle w:val="Hyperlink"/>
          <w:rFonts w:ascii="Arial" w:hAnsi="Arial" w:cs="Arial"/>
          <w:szCs w:val="24"/>
          <w:u w:val="none"/>
        </w:rPr>
        <w:t>.</w:t>
      </w:r>
      <w:r w:rsidRPr="0072517E">
        <w:rPr>
          <w:rStyle w:val="FootnoteReference"/>
          <w:rFonts w:ascii="Arial" w:hAnsi="Arial" w:cs="Arial"/>
          <w:szCs w:val="24"/>
        </w:rPr>
        <w:footnoteReference w:id="63"/>
      </w:r>
      <w:r w:rsidR="0072517E">
        <w:rPr>
          <w:rStyle w:val="Hyperlink"/>
          <w:rFonts w:ascii="Arial" w:hAnsi="Arial" w:cs="Arial"/>
          <w:color w:val="4C2C92"/>
          <w:szCs w:val="24"/>
          <w:u w:val="none"/>
        </w:rPr>
        <w:t xml:space="preserve"> </w:t>
      </w:r>
      <w:r w:rsidRPr="000A4071">
        <w:t>Real-terms local authority spending on social care in England was approximately £400 million lower in 201</w:t>
      </w:r>
      <w:r>
        <w:t>8</w:t>
      </w:r>
      <w:r w:rsidR="0072517E">
        <w:t>–</w:t>
      </w:r>
      <w:r>
        <w:t>9</w:t>
      </w:r>
      <w:r w:rsidRPr="000A4071">
        <w:rPr>
          <w:color w:val="0B0C0C"/>
        </w:rPr>
        <w:t> than in 2010</w:t>
      </w:r>
      <w:r w:rsidR="0072517E">
        <w:t>–</w:t>
      </w:r>
      <w:r w:rsidRPr="000A4071">
        <w:rPr>
          <w:color w:val="0B0C0C"/>
        </w:rPr>
        <w:t>1.</w:t>
      </w:r>
      <w:r w:rsidRPr="000A4071">
        <w:rPr>
          <w:rStyle w:val="FootnoteReference"/>
          <w:rFonts w:ascii="Arial" w:hAnsi="Arial" w:cs="Arial"/>
          <w:color w:val="0B0C0C"/>
          <w:szCs w:val="24"/>
        </w:rPr>
        <w:footnoteReference w:id="64"/>
      </w:r>
      <w:r w:rsidRPr="000A4071">
        <w:rPr>
          <w:color w:val="0B0C0C"/>
        </w:rPr>
        <w:t xml:space="preserve"> </w:t>
      </w:r>
    </w:p>
    <w:p w14:paraId="363D2651" w14:textId="77777777" w:rsidR="00FE2687" w:rsidRPr="000A4071" w:rsidRDefault="00FE2687" w:rsidP="006C1E0B">
      <w:pPr>
        <w:pStyle w:val="ListNumber"/>
        <w:numPr>
          <w:ilvl w:val="0"/>
          <w:numId w:val="0"/>
        </w:numPr>
        <w:ind w:left="567"/>
        <w:rPr>
          <w:color w:val="0B0C0C"/>
        </w:rPr>
      </w:pPr>
    </w:p>
    <w:p w14:paraId="07EC8451" w14:textId="6E4D9454" w:rsidR="002457EB" w:rsidRDefault="002457EB" w:rsidP="006C1E0B">
      <w:pPr>
        <w:pStyle w:val="ListNumber"/>
        <w:numPr>
          <w:ilvl w:val="0"/>
          <w:numId w:val="0"/>
        </w:numPr>
      </w:pPr>
      <w:r w:rsidRPr="00DF1852">
        <w:t>Having insufficient care arrangements in place can increase</w:t>
      </w:r>
      <w:r>
        <w:t xml:space="preserve"> the</w:t>
      </w:r>
      <w:r w:rsidRPr="00DF1852">
        <w:t xml:space="preserve"> risk that disabled adults and older people with care needs </w:t>
      </w:r>
      <w:r>
        <w:t>cannot</w:t>
      </w:r>
      <w:r w:rsidRPr="00DF1852">
        <w:t xml:space="preserve"> access essentials, including food and water, medicines, clothing, hygiene and exercise, with immediate and long-term implications for wellbeing.</w:t>
      </w:r>
      <w:r w:rsidRPr="000A4071">
        <w:rPr>
          <w:rStyle w:val="FootnoteReference"/>
          <w:rFonts w:ascii="Arial" w:hAnsi="Arial" w:cs="Arial"/>
          <w:color w:val="0B0C0C"/>
          <w:szCs w:val="24"/>
        </w:rPr>
        <w:footnoteReference w:id="65"/>
      </w:r>
      <w:r w:rsidRPr="00DF1852">
        <w:t xml:space="preserve"> Furthermore, the </w:t>
      </w:r>
      <w:r w:rsidR="001D6B1D">
        <w:t xml:space="preserve">UN </w:t>
      </w:r>
      <w:r w:rsidRPr="00DF1852">
        <w:t>Committee</w:t>
      </w:r>
      <w:r w:rsidR="00B10A14">
        <w:t xml:space="preserve"> on the Rights of Persons with Disabilities</w:t>
      </w:r>
      <w:r w:rsidRPr="00DF1852">
        <w:t xml:space="preserve"> </w:t>
      </w:r>
      <w:r w:rsidR="00131ED3">
        <w:t>‘</w:t>
      </w:r>
      <w:r w:rsidRPr="00DF1852">
        <w:t>observed that the reduction in the provision of support services at the local level has curtailed the ability of persons with disabilities to take part in community life</w:t>
      </w:r>
      <w:r w:rsidR="00131ED3">
        <w:t>’</w:t>
      </w:r>
      <w:r w:rsidRPr="00DF1852">
        <w:t>.</w:t>
      </w:r>
      <w:r w:rsidRPr="000A4071">
        <w:rPr>
          <w:rStyle w:val="FootnoteReference"/>
          <w:rFonts w:ascii="Arial" w:hAnsi="Arial" w:cs="Arial"/>
          <w:szCs w:val="24"/>
        </w:rPr>
        <w:footnoteReference w:id="66"/>
      </w:r>
      <w:r>
        <w:t xml:space="preserve"> </w:t>
      </w:r>
      <w:r w:rsidRPr="000A4071">
        <w:t xml:space="preserve">Following concerns about the adequacy of care needs assessments, and the lack of transparency </w:t>
      </w:r>
      <w:r>
        <w:t>in</w:t>
      </w:r>
      <w:r w:rsidRPr="000A4071">
        <w:t xml:space="preserve"> assessments and decision</w:t>
      </w:r>
      <w:r w:rsidR="00131ED3">
        <w:t xml:space="preserve"> </w:t>
      </w:r>
      <w:r w:rsidRPr="000A4071">
        <w:t xml:space="preserve">making, </w:t>
      </w:r>
      <w:r w:rsidR="00131ED3">
        <w:t xml:space="preserve">we are </w:t>
      </w:r>
      <w:r w:rsidRPr="00BD0765">
        <w:t xml:space="preserve">considering </w:t>
      </w:r>
      <w:r>
        <w:t>using</w:t>
      </w:r>
      <w:r w:rsidRPr="00BD0765">
        <w:t xml:space="preserve"> our statutory powers to examine how the social care system can better uphold human rights and equality</w:t>
      </w:r>
      <w:r w:rsidRPr="000A4071">
        <w:t>.</w:t>
      </w:r>
    </w:p>
    <w:p w14:paraId="550EA1B7" w14:textId="77777777" w:rsidR="00FE2687" w:rsidRPr="000A4071" w:rsidRDefault="00FE2687" w:rsidP="006C1E0B">
      <w:pPr>
        <w:pStyle w:val="ListNumber"/>
        <w:numPr>
          <w:ilvl w:val="0"/>
          <w:numId w:val="0"/>
        </w:numPr>
      </w:pPr>
    </w:p>
    <w:p w14:paraId="28F7A027" w14:textId="37B53F07" w:rsidR="002457EB" w:rsidRPr="006C1E0B" w:rsidRDefault="002457EB" w:rsidP="006C1E0B">
      <w:pPr>
        <w:pStyle w:val="ListNumber"/>
        <w:numPr>
          <w:ilvl w:val="0"/>
          <w:numId w:val="0"/>
        </w:numPr>
        <w:rPr>
          <w:color w:val="0B0C0C"/>
        </w:rPr>
      </w:pPr>
      <w:r w:rsidRPr="000A4071">
        <w:rPr>
          <w:color w:val="0B0C0C"/>
        </w:rPr>
        <w:lastRenderedPageBreak/>
        <w:t xml:space="preserve">Disabled people and </w:t>
      </w:r>
      <w:r w:rsidRPr="000A4071">
        <w:t>older adults with care needs can also face significant barriers in challenging decisions when their care needs are not met. Research by Independent Ag</w:t>
      </w:r>
      <w:r w:rsidR="00152B03">
        <w:t>e in 2019 found that just one-in-</w:t>
      </w:r>
      <w:r w:rsidRPr="000A4071">
        <w:t>five councils h</w:t>
      </w:r>
      <w:r>
        <w:t>a</w:t>
      </w:r>
      <w:r w:rsidR="00131ED3">
        <w:t>d</w:t>
      </w:r>
      <w:r>
        <w:t xml:space="preserve"> an adult social care </w:t>
      </w:r>
      <w:r w:rsidRPr="000A4071">
        <w:t>appeals process, meaning many service users h</w:t>
      </w:r>
      <w:r w:rsidR="00131ED3">
        <w:t>ad</w:t>
      </w:r>
      <w:r w:rsidRPr="000A4071">
        <w:t xml:space="preserve"> to rely on drawn-out complaints procedures.</w:t>
      </w:r>
      <w:r w:rsidRPr="000A4071">
        <w:rPr>
          <w:rStyle w:val="FootnoteReference"/>
          <w:rFonts w:ascii="Arial" w:hAnsi="Arial" w:cs="Arial"/>
          <w:szCs w:val="24"/>
        </w:rPr>
        <w:footnoteReference w:id="67"/>
      </w:r>
      <w:r w:rsidRPr="000A4071">
        <w:rPr>
          <w:rFonts w:ascii="Helvetica" w:hAnsi="Helvetica" w:cs="Helvetica"/>
          <w:sz w:val="23"/>
          <w:szCs w:val="23"/>
        </w:rPr>
        <w:t> </w:t>
      </w:r>
    </w:p>
    <w:p w14:paraId="66A02C63" w14:textId="77777777" w:rsidR="00FE2687" w:rsidRPr="000A4071" w:rsidRDefault="00FE2687" w:rsidP="006C1E0B">
      <w:pPr>
        <w:pStyle w:val="ListNumber"/>
        <w:numPr>
          <w:ilvl w:val="0"/>
          <w:numId w:val="0"/>
        </w:numPr>
        <w:rPr>
          <w:color w:val="0B0C0C"/>
        </w:rPr>
      </w:pPr>
    </w:p>
    <w:p w14:paraId="2D4E4F71" w14:textId="794C6FDC" w:rsidR="002457EB" w:rsidRPr="000A4071" w:rsidRDefault="002457EB" w:rsidP="006C1E0B">
      <w:pPr>
        <w:pStyle w:val="ListNumber"/>
        <w:numPr>
          <w:ilvl w:val="0"/>
          <w:numId w:val="0"/>
        </w:numPr>
      </w:pPr>
      <w:r w:rsidRPr="000A4071">
        <w:t>There are an estimated 6.5 million unpaid, informal carers across the UK, with an estimated 1.</w:t>
      </w:r>
      <w:r>
        <w:t>3</w:t>
      </w:r>
      <w:r w:rsidRPr="000A4071">
        <w:t>4 million people providing more than 50 or more care hours per week.</w:t>
      </w:r>
      <w:r w:rsidRPr="000A4071">
        <w:rPr>
          <w:rStyle w:val="FootnoteReference"/>
          <w:rFonts w:ascii="Arial" w:hAnsi="Arial" w:cs="Arial"/>
          <w:szCs w:val="24"/>
        </w:rPr>
        <w:footnoteReference w:id="68"/>
      </w:r>
      <w:r w:rsidRPr="000A4071">
        <w:t xml:space="preserve"> The reliance on informal, unpaid carers further suggests that disabled people do not have full choice and control over the type and level of care that they receive.</w:t>
      </w:r>
      <w:r w:rsidR="00223E1D" w:rsidRPr="00223E1D">
        <w:t xml:space="preserve"> The principles of individualised support services mean that disabled people have the right to choose services and service providers according to their individual requirements and personal preferences.</w:t>
      </w:r>
      <w:r w:rsidRPr="000A4071">
        <w:rPr>
          <w:rStyle w:val="FootnoteReference"/>
          <w:rFonts w:ascii="Arial" w:hAnsi="Arial" w:cs="Arial"/>
          <w:color w:val="000000"/>
          <w:szCs w:val="24"/>
        </w:rPr>
        <w:footnoteReference w:id="69"/>
      </w:r>
      <w:r w:rsidRPr="000A4071">
        <w:rPr>
          <w:color w:val="0B0C0C"/>
        </w:rPr>
        <w:t> </w:t>
      </w:r>
      <w:r w:rsidRPr="000A4071" w:rsidDel="00243DE2">
        <w:t xml:space="preserve"> </w:t>
      </w:r>
    </w:p>
    <w:p w14:paraId="4696D0B9" w14:textId="7A58A6DC" w:rsidR="002457EB" w:rsidRPr="002457EB" w:rsidRDefault="002457EB" w:rsidP="002457EB">
      <w:pPr>
        <w:pStyle w:val="Heading2"/>
      </w:pPr>
      <w:bookmarkStart w:id="44" w:name="_Toc71213922"/>
      <w:r>
        <w:t>Closure of the Independent Living Fund</w:t>
      </w:r>
      <w:bookmarkEnd w:id="44"/>
    </w:p>
    <w:p w14:paraId="619AE0C3" w14:textId="77777777" w:rsidR="00770C6F" w:rsidRDefault="00770C6F" w:rsidP="006C1E0B">
      <w:pPr>
        <w:pStyle w:val="ListNumber"/>
        <w:numPr>
          <w:ilvl w:val="0"/>
          <w:numId w:val="0"/>
        </w:numPr>
        <w:ind w:left="567" w:hanging="567"/>
      </w:pPr>
    </w:p>
    <w:p w14:paraId="187D8B4C" w14:textId="289DC8BF" w:rsidR="002457EB" w:rsidRDefault="002457EB" w:rsidP="006C1E0B">
      <w:pPr>
        <w:pStyle w:val="ListNumber"/>
        <w:numPr>
          <w:ilvl w:val="0"/>
          <w:numId w:val="0"/>
        </w:numPr>
      </w:pPr>
      <w:r w:rsidRPr="002457EB">
        <w:t>The Independent Living Fund was a national resource dedicated to the financial support of disabled people, enabling them to choose to live in the community rather than residential care.</w:t>
      </w:r>
      <w:r w:rsidRPr="002457EB">
        <w:rPr>
          <w:vertAlign w:val="superscript"/>
        </w:rPr>
        <w:footnoteReference w:id="70"/>
      </w:r>
      <w:r w:rsidRPr="002457EB">
        <w:t xml:space="preserve"> The Independent Living Fund closed to new claimants </w:t>
      </w:r>
      <w:r w:rsidR="00B10A14">
        <w:t>in</w:t>
      </w:r>
      <w:r w:rsidRPr="002457EB">
        <w:t xml:space="preserve"> 2010 and was definitively closed in June 2015. In England the</w:t>
      </w:r>
      <w:r w:rsidR="00B10A14">
        <w:t>se</w:t>
      </w:r>
      <w:r w:rsidRPr="002457EB">
        <w:t xml:space="preserve"> funds transferred from central administration to local authorities</w:t>
      </w:r>
      <w:r w:rsidR="00B10A14">
        <w:t>, but</w:t>
      </w:r>
      <w:r w:rsidRPr="002457EB">
        <w:t xml:space="preserve"> the funding was not ring-fenced.</w:t>
      </w:r>
      <w:r w:rsidRPr="002457EB">
        <w:rPr>
          <w:vertAlign w:val="superscript"/>
        </w:rPr>
        <w:footnoteReference w:id="71"/>
      </w:r>
      <w:r w:rsidRPr="002457EB">
        <w:t xml:space="preserve"> </w:t>
      </w:r>
    </w:p>
    <w:p w14:paraId="538B3F06" w14:textId="77777777" w:rsidR="00770C6F" w:rsidRDefault="00770C6F" w:rsidP="006C1E0B">
      <w:pPr>
        <w:pStyle w:val="ListNumber"/>
        <w:numPr>
          <w:ilvl w:val="0"/>
          <w:numId w:val="0"/>
        </w:numPr>
      </w:pPr>
    </w:p>
    <w:p w14:paraId="60764E96" w14:textId="5412872E" w:rsidR="00493DD7" w:rsidRPr="00FC3D39" w:rsidRDefault="00493DD7" w:rsidP="006C1E0B">
      <w:pPr>
        <w:pStyle w:val="ListNumber"/>
        <w:numPr>
          <w:ilvl w:val="0"/>
          <w:numId w:val="0"/>
        </w:numPr>
      </w:pPr>
      <w:r w:rsidRPr="00FC3D39">
        <w:lastRenderedPageBreak/>
        <w:t>There is evidence that the closure of the Independent Living Fund had a significant impact on many disabled people’s care packages. A survey carried out by the Independent Living Strategy Group in 2016 found that 41</w:t>
      </w:r>
      <w:r w:rsidR="00B10A14">
        <w:t>%</w:t>
      </w:r>
      <w:r w:rsidRPr="00FC3D39">
        <w:t xml:space="preserve"> of former </w:t>
      </w:r>
      <w:r w:rsidR="00B10A14">
        <w:t>f</w:t>
      </w:r>
      <w:r>
        <w:t xml:space="preserve">und </w:t>
      </w:r>
      <w:r w:rsidRPr="00FC3D39">
        <w:t>recipients had seen their support decrease.</w:t>
      </w:r>
      <w:r w:rsidRPr="00FC3D39">
        <w:rPr>
          <w:rStyle w:val="FootnoteReference"/>
          <w:rFonts w:ascii="Arial" w:hAnsi="Arial" w:cs="Arial"/>
          <w:szCs w:val="24"/>
        </w:rPr>
        <w:footnoteReference w:id="72"/>
      </w:r>
      <w:r w:rsidRPr="00FC3D39">
        <w:t xml:space="preserve"> During its 2016 inquiry of the UK, the</w:t>
      </w:r>
      <w:r w:rsidR="00B10A14">
        <w:t xml:space="preserve"> </w:t>
      </w:r>
      <w:r w:rsidR="001D6B1D">
        <w:t xml:space="preserve">UN </w:t>
      </w:r>
      <w:r w:rsidRPr="00FC3D39">
        <w:t>Committee</w:t>
      </w:r>
      <w:r w:rsidR="00B10A14">
        <w:t xml:space="preserve"> on the Rights of Persons with Disabilities</w:t>
      </w:r>
      <w:r w:rsidRPr="00FC3D39">
        <w:t xml:space="preserve"> found that </w:t>
      </w:r>
      <w:r w:rsidR="00B10A14">
        <w:t>‘</w:t>
      </w:r>
      <w:r w:rsidRPr="00FC3D39">
        <w:t>former Fund claimants have seen the support they received from local authorities substantially reduced, to the extent that their essential needs in areas such as daily personal care are not sufficiently covered</w:t>
      </w:r>
      <w:r w:rsidR="00B10A14">
        <w:t>’</w:t>
      </w:r>
      <w:r w:rsidRPr="00FC3D39">
        <w:t>.</w:t>
      </w:r>
      <w:r w:rsidRPr="00FC3D39">
        <w:rPr>
          <w:rStyle w:val="FootnoteReference"/>
          <w:rFonts w:ascii="Arial" w:hAnsi="Arial" w:cs="Arial"/>
          <w:szCs w:val="24"/>
        </w:rPr>
        <w:footnoteReference w:id="73"/>
      </w:r>
      <w:r w:rsidR="00152B03">
        <w:br w:type="page"/>
      </w:r>
    </w:p>
    <w:p w14:paraId="14840684" w14:textId="773995D5" w:rsidR="00493DD7" w:rsidRPr="002457EB" w:rsidRDefault="00493DD7" w:rsidP="00493DD7">
      <w:pPr>
        <w:pStyle w:val="Heading2"/>
      </w:pPr>
      <w:bookmarkStart w:id="46" w:name="_Toc71213923"/>
      <w:r>
        <w:lastRenderedPageBreak/>
        <w:t>Reduced social care provision during the pandemic</w:t>
      </w:r>
      <w:bookmarkEnd w:id="46"/>
    </w:p>
    <w:p w14:paraId="36AC5E75" w14:textId="77777777" w:rsidR="00D53038" w:rsidRDefault="00D53038" w:rsidP="006C1E0B">
      <w:pPr>
        <w:pStyle w:val="ListNumber"/>
        <w:numPr>
          <w:ilvl w:val="0"/>
          <w:numId w:val="0"/>
        </w:numPr>
        <w:ind w:left="567"/>
      </w:pPr>
    </w:p>
    <w:p w14:paraId="04517E7F" w14:textId="3030B3C4" w:rsidR="00E27CF0" w:rsidRDefault="00493DD7" w:rsidP="006C1E0B">
      <w:pPr>
        <w:pStyle w:val="ListNumber"/>
        <w:numPr>
          <w:ilvl w:val="0"/>
          <w:numId w:val="0"/>
        </w:numPr>
      </w:pPr>
      <w:r w:rsidRPr="00493DD7">
        <w:t xml:space="preserve">The coronavirus pandemic has pushed the already struggling adult social care sector to crisis point, posing a significant threat to the right to independent living. </w:t>
      </w:r>
      <w:r w:rsidRPr="000A4071">
        <w:t>The Coronavirus Act 2020 permit</w:t>
      </w:r>
      <w:r>
        <w:t>ted</w:t>
      </w:r>
      <w:r w:rsidRPr="000A4071">
        <w:t xml:space="preserve"> local authorities in England to suspend </w:t>
      </w:r>
      <w:r>
        <w:t xml:space="preserve">or ‘ease’ </w:t>
      </w:r>
      <w:r w:rsidRPr="000A4071">
        <w:t xml:space="preserve">their duties </w:t>
      </w:r>
      <w:r w:rsidR="00B63C03">
        <w:t xml:space="preserve">under the Care Act 2014 to </w:t>
      </w:r>
      <w:r w:rsidR="00B63C03" w:rsidRPr="00B63C03">
        <w:t>assess and meet a person’s needs for care and support</w:t>
      </w:r>
      <w:r w:rsidR="00B63C03">
        <w:t>, to review care plans and carry out financial assessments</w:t>
      </w:r>
      <w:r w:rsidRPr="000A4071">
        <w:t>,</w:t>
      </w:r>
      <w:r w:rsidRPr="000A4071">
        <w:rPr>
          <w:rStyle w:val="FootnoteReference"/>
          <w:rFonts w:ascii="Arial" w:hAnsi="Arial" w:cs="Arial"/>
          <w:szCs w:val="24"/>
        </w:rPr>
        <w:footnoteReference w:id="74"/>
      </w:r>
      <w:r w:rsidRPr="000A4071">
        <w:t xml:space="preserve"> </w:t>
      </w:r>
      <w:r w:rsidR="00B63C03" w:rsidRPr="00B63C03">
        <w:t>downgrading the level of care to which an individual is entitled</w:t>
      </w:r>
      <w:r w:rsidR="00B63C03">
        <w:t xml:space="preserve"> and </w:t>
      </w:r>
      <w:r w:rsidRPr="000A4071">
        <w:t>allowing scope for adult social care services to deteriorate.</w:t>
      </w:r>
    </w:p>
    <w:p w14:paraId="576D334E" w14:textId="77777777" w:rsidR="00E27CF0" w:rsidRDefault="00E27CF0" w:rsidP="006C1E0B">
      <w:pPr>
        <w:pStyle w:val="ListNumber"/>
        <w:numPr>
          <w:ilvl w:val="0"/>
          <w:numId w:val="0"/>
        </w:numPr>
      </w:pPr>
    </w:p>
    <w:p w14:paraId="39833555" w14:textId="77777777" w:rsidR="00E27CF0" w:rsidRDefault="001E6407" w:rsidP="006C1E0B">
      <w:pPr>
        <w:pStyle w:val="ListNumber"/>
        <w:numPr>
          <w:ilvl w:val="0"/>
          <w:numId w:val="0"/>
        </w:numPr>
      </w:pPr>
      <w:r>
        <w:t>T</w:t>
      </w:r>
      <w:r w:rsidR="00493DD7" w:rsidRPr="000A4071">
        <w:t>hese easements were not widely triggered</w:t>
      </w:r>
      <w:r>
        <w:t>, with only eight English local authorities triggering them between the end of March and July 2020, and the CQC has reported that s</w:t>
      </w:r>
      <w:r w:rsidRPr="001E6407">
        <w:t xml:space="preserve">ince 3 July 2020 no local authorities in England </w:t>
      </w:r>
      <w:r>
        <w:t xml:space="preserve">are </w:t>
      </w:r>
      <w:r w:rsidRPr="001E6407">
        <w:t>operating under the easements.</w:t>
      </w:r>
      <w:r w:rsidR="00493DD7" w:rsidRPr="000A4071">
        <w:rPr>
          <w:rStyle w:val="FootnoteReference"/>
          <w:rFonts w:ascii="Arial" w:hAnsi="Arial" w:cs="Arial"/>
          <w:szCs w:val="24"/>
        </w:rPr>
        <w:footnoteReference w:id="75"/>
      </w:r>
      <w:r w:rsidR="00493DD7" w:rsidRPr="000A4071">
        <w:t xml:space="preserve"> </w:t>
      </w:r>
      <w:r>
        <w:t xml:space="preserve">But </w:t>
      </w:r>
      <w:r w:rsidR="00493DD7" w:rsidRPr="000A4071">
        <w:t xml:space="preserve">local authorities </w:t>
      </w:r>
      <w:r w:rsidR="00493DD7">
        <w:t>could</w:t>
      </w:r>
      <w:r w:rsidR="00493DD7" w:rsidRPr="000A4071">
        <w:t xml:space="preserve"> still reduce provision in the short</w:t>
      </w:r>
      <w:r w:rsidR="00A12CE3">
        <w:t xml:space="preserve"> </w:t>
      </w:r>
      <w:r w:rsidR="00493DD7" w:rsidRPr="000A4071">
        <w:t xml:space="preserve">term due to </w:t>
      </w:r>
      <w:r w:rsidR="00493DD7">
        <w:t>coronavirus</w:t>
      </w:r>
      <w:r w:rsidR="00493DD7" w:rsidRPr="000A4071">
        <w:t>-related staffing absences by ‘applying flexibilities’</w:t>
      </w:r>
      <w:r w:rsidR="00F81B2F">
        <w:t xml:space="preserve"> to change, delay or cancel services</w:t>
      </w:r>
      <w:r w:rsidR="00493DD7" w:rsidRPr="000A4071">
        <w:t>, without having to formally trigger easements or notify the Department of Health and Social Care (DHSC).</w:t>
      </w:r>
      <w:r w:rsidR="00493DD7" w:rsidRPr="000A4071">
        <w:rPr>
          <w:vertAlign w:val="superscript"/>
        </w:rPr>
        <w:footnoteReference w:id="76"/>
      </w:r>
      <w:r w:rsidR="00493DD7" w:rsidRPr="000A4071">
        <w:t xml:space="preserve"> </w:t>
      </w:r>
    </w:p>
    <w:p w14:paraId="4B455D42" w14:textId="5C6BB153" w:rsidR="00E27CF0" w:rsidRDefault="00493DD7" w:rsidP="006C1E0B">
      <w:pPr>
        <w:pStyle w:val="ListNumber"/>
        <w:numPr>
          <w:ilvl w:val="0"/>
          <w:numId w:val="0"/>
        </w:numPr>
      </w:pPr>
      <w:r w:rsidRPr="000A4071">
        <w:lastRenderedPageBreak/>
        <w:t>In the early months of the pandemic, a number of disabled people’s organisations reported that local social care provision was significantly reduced</w:t>
      </w:r>
      <w:r w:rsidR="00F81B2F">
        <w:t xml:space="preserve"> (one found </w:t>
      </w:r>
      <w:r w:rsidR="00F81B2F" w:rsidRPr="00F81B2F">
        <w:t xml:space="preserve">54.6% of people with care support needs </w:t>
      </w:r>
      <w:r w:rsidR="00F81B2F">
        <w:t xml:space="preserve">it surveyed </w:t>
      </w:r>
      <w:r w:rsidR="00F81B2F" w:rsidRPr="00F81B2F">
        <w:t xml:space="preserve">were no longer receiving health or personal care visits </w:t>
      </w:r>
      <w:r w:rsidR="00F81B2F">
        <w:t xml:space="preserve">at </w:t>
      </w:r>
      <w:r w:rsidR="00F81B2F" w:rsidRPr="00F81B2F">
        <w:t>home</w:t>
      </w:r>
      <w:r w:rsidR="00F81B2F">
        <w:t>)</w:t>
      </w:r>
      <w:r w:rsidRPr="000A4071">
        <w:t>,</w:t>
      </w:r>
      <w:r w:rsidRPr="000A4071">
        <w:rPr>
          <w:rStyle w:val="FootnoteReference"/>
          <w:rFonts w:ascii="Arial" w:hAnsi="Arial" w:cs="Arial"/>
          <w:szCs w:val="24"/>
        </w:rPr>
        <w:footnoteReference w:id="77"/>
      </w:r>
      <w:r w:rsidRPr="000A4071">
        <w:t xml:space="preserve"> with little or no information or transparency about how local authorities took these </w:t>
      </w:r>
      <w:r w:rsidR="00E27CF0">
        <w:t>decisions.</w:t>
      </w:r>
      <w:r w:rsidR="00E27CF0" w:rsidRPr="00E27CF0">
        <w:rPr>
          <w:vertAlign w:val="superscript"/>
        </w:rPr>
        <w:t xml:space="preserve"> </w:t>
      </w:r>
      <w:r w:rsidR="00E27CF0" w:rsidRPr="000A4071">
        <w:rPr>
          <w:vertAlign w:val="superscript"/>
        </w:rPr>
        <w:footnoteReference w:id="78"/>
      </w:r>
    </w:p>
    <w:p w14:paraId="3AE7D1C6" w14:textId="7CC0E1B2" w:rsidR="00D53038" w:rsidRDefault="00D53038" w:rsidP="006C1E0B">
      <w:pPr>
        <w:pStyle w:val="ListNumber"/>
        <w:numPr>
          <w:ilvl w:val="0"/>
          <w:numId w:val="0"/>
        </w:numPr>
      </w:pPr>
    </w:p>
    <w:p w14:paraId="5F46A205" w14:textId="77777777" w:rsidR="00EF5BEB" w:rsidRDefault="00493DD7" w:rsidP="006C1E0B">
      <w:pPr>
        <w:pStyle w:val="ListNumber"/>
        <w:numPr>
          <w:ilvl w:val="0"/>
          <w:numId w:val="0"/>
        </w:numPr>
      </w:pPr>
      <w:r>
        <w:t>I</w:t>
      </w:r>
      <w:r w:rsidRPr="000A4071">
        <w:t xml:space="preserve">n a survey of </w:t>
      </w:r>
      <w:r w:rsidR="00724700">
        <w:t>d</w:t>
      </w:r>
      <w:r w:rsidRPr="000A4071">
        <w:t>irectors of adult social services in England in autumn 2020, 60</w:t>
      </w:r>
      <w:r w:rsidR="00724700">
        <w:t>%</w:t>
      </w:r>
      <w:r w:rsidRPr="000A4071">
        <w:t xml:space="preserve"> reported that domiciliary care providers in their area had closed down, ceased trading or handed back local authority contracts since the beginning of the pandemic, affecting 3,309 people in total.</w:t>
      </w:r>
      <w:r w:rsidRPr="000A4071">
        <w:rPr>
          <w:rStyle w:val="FootnoteReference"/>
          <w:rFonts w:ascii="Arial" w:hAnsi="Arial" w:cs="Arial"/>
          <w:szCs w:val="24"/>
        </w:rPr>
        <w:footnoteReference w:id="79"/>
      </w:r>
      <w:r w:rsidRPr="000A4071">
        <w:t xml:space="preserve"> This is particularly concerning at a time of increased demand for adult social care</w:t>
      </w:r>
      <w:r w:rsidR="00BE46ED">
        <w:t xml:space="preserve">; the survey indicated that the pandemic </w:t>
      </w:r>
      <w:r w:rsidR="00EF04A5">
        <w:t xml:space="preserve">has led to </w:t>
      </w:r>
      <w:r w:rsidR="00BE46ED" w:rsidRPr="00BE46ED">
        <w:t>a significant shift in the type of care and support people seek, with increasing numbers choosing to remain in their own home with domiciliary care, making use of direct payments to employ personal assistants or accessing other forms of community support.</w:t>
      </w:r>
      <w:r w:rsidRPr="000A4071">
        <w:rPr>
          <w:rStyle w:val="FootnoteReference"/>
          <w:rFonts w:ascii="Arial" w:hAnsi="Arial" w:cs="Arial"/>
          <w:szCs w:val="24"/>
        </w:rPr>
        <w:footnoteReference w:id="80"/>
      </w:r>
      <w:r w:rsidRPr="000A4071">
        <w:t xml:space="preserve"> </w:t>
      </w:r>
    </w:p>
    <w:p w14:paraId="3DB25E34" w14:textId="37C1B693" w:rsidR="00493DD7" w:rsidRPr="00152B03" w:rsidRDefault="00EF04A5" w:rsidP="006C1E0B">
      <w:pPr>
        <w:pStyle w:val="ListNumber"/>
        <w:numPr>
          <w:ilvl w:val="0"/>
          <w:numId w:val="0"/>
        </w:numPr>
        <w:rPr>
          <w:bCs/>
        </w:rPr>
      </w:pPr>
      <w:r>
        <w:lastRenderedPageBreak/>
        <w:t xml:space="preserve">There is a </w:t>
      </w:r>
      <w:r w:rsidR="00493DD7" w:rsidRPr="000A4071">
        <w:t xml:space="preserve">risk more disabled adults and older people </w:t>
      </w:r>
      <w:r>
        <w:t xml:space="preserve">are </w:t>
      </w:r>
      <w:r w:rsidR="00493DD7" w:rsidRPr="000A4071">
        <w:t>being left without the vital care and support necessary to realise the right to independent living</w:t>
      </w:r>
      <w:r w:rsidR="00493DD7" w:rsidRPr="000A4071">
        <w:rPr>
          <w:bCs/>
        </w:rPr>
        <w:t>.</w:t>
      </w:r>
      <w:r w:rsidR="00493DD7" w:rsidRPr="000A4071">
        <w:rPr>
          <w:vertAlign w:val="superscript"/>
        </w:rPr>
        <w:footnoteReference w:id="81"/>
      </w:r>
      <w:r w:rsidR="00493DD7" w:rsidRPr="000A4071">
        <w:rPr>
          <w:b/>
        </w:rPr>
        <w:t xml:space="preserve"> </w:t>
      </w:r>
      <w:r w:rsidR="00493DD7" w:rsidRPr="000A4071">
        <w:rPr>
          <w:bCs/>
        </w:rPr>
        <w:t>Increased demand for adult social care coupled with decreased supply also risks placing a higher burden on family members or unpaid carers.</w:t>
      </w:r>
      <w:r w:rsidR="002C5FA1" w:rsidRPr="002C5FA1">
        <w:t xml:space="preserve"> </w:t>
      </w:r>
      <w:r w:rsidR="002C5FA1" w:rsidRPr="002C5FA1">
        <w:rPr>
          <w:bCs/>
        </w:rPr>
        <w:t>Research estimates 4.5 million people have been forced to become unpaid carers during the pandemic</w:t>
      </w:r>
      <w:r w:rsidR="002A0C84">
        <w:rPr>
          <w:bCs/>
        </w:rPr>
        <w:t>, and these</w:t>
      </w:r>
      <w:r w:rsidR="002A0C84" w:rsidRPr="002A0C84">
        <w:t xml:space="preserve"> </w:t>
      </w:r>
      <w:r w:rsidR="002A0C84">
        <w:rPr>
          <w:bCs/>
        </w:rPr>
        <w:t>u</w:t>
      </w:r>
      <w:r w:rsidR="002A0C84" w:rsidRPr="002A0C84">
        <w:rPr>
          <w:bCs/>
        </w:rPr>
        <w:t>npaid carers are disproportionately likely to be women and/or living in poverty</w:t>
      </w:r>
      <w:r w:rsidR="002C5FA1" w:rsidRPr="002C5FA1">
        <w:rPr>
          <w:bCs/>
        </w:rPr>
        <w:t>.</w:t>
      </w:r>
      <w:r w:rsidR="00493DD7" w:rsidRPr="000A4071">
        <w:rPr>
          <w:bCs/>
          <w:vertAlign w:val="superscript"/>
        </w:rPr>
        <w:footnoteReference w:id="82"/>
      </w:r>
    </w:p>
    <w:p w14:paraId="3289478C" w14:textId="3C8438A4" w:rsidR="00D53038" w:rsidRDefault="00493DD7" w:rsidP="00152B03">
      <w:pPr>
        <w:pStyle w:val="Heading2"/>
      </w:pPr>
      <w:bookmarkStart w:id="48" w:name="_Toc71213924"/>
      <w:r>
        <w:t>Equality and human rights in care settings</w:t>
      </w:r>
      <w:bookmarkEnd w:id="48"/>
    </w:p>
    <w:p w14:paraId="1C028A73" w14:textId="77777777" w:rsidR="00152B03" w:rsidRPr="00152B03" w:rsidRDefault="00152B03" w:rsidP="00152B03"/>
    <w:p w14:paraId="14B1B184" w14:textId="7D542E10" w:rsidR="00493DD7" w:rsidRPr="00493DD7" w:rsidRDefault="00493DD7" w:rsidP="006C1E0B">
      <w:pPr>
        <w:pStyle w:val="ListNumber"/>
        <w:numPr>
          <w:ilvl w:val="0"/>
          <w:numId w:val="0"/>
        </w:numPr>
        <w:rPr>
          <w:bCs/>
        </w:rPr>
      </w:pPr>
      <w:r w:rsidRPr="00493DD7">
        <w:rPr>
          <w:bCs/>
        </w:rPr>
        <w:t xml:space="preserve">Both the </w:t>
      </w:r>
      <w:r w:rsidR="008A788E">
        <w:rPr>
          <w:bCs/>
        </w:rPr>
        <w:t xml:space="preserve">House of Commons </w:t>
      </w:r>
      <w:r w:rsidRPr="00493DD7">
        <w:rPr>
          <w:bCs/>
        </w:rPr>
        <w:t>Women and Equalities Committee and the Health and Social Care Committee have found that the pandemic has exacerbated many of the existing problems within the social care sector and that urgent reform is needed.</w:t>
      </w:r>
      <w:r w:rsidRPr="00493DD7">
        <w:rPr>
          <w:bCs/>
          <w:vertAlign w:val="superscript"/>
        </w:rPr>
        <w:footnoteReference w:id="83"/>
      </w:r>
      <w:r w:rsidRPr="00493DD7">
        <w:rPr>
          <w:bCs/>
        </w:rPr>
        <w:t xml:space="preserve"> The Women and Equalities Committee has recommended specific sector-wide reforms, including measures to: </w:t>
      </w:r>
    </w:p>
    <w:p w14:paraId="70A0755E" w14:textId="764E7730" w:rsidR="00493DD7" w:rsidRDefault="00493DD7" w:rsidP="000C0843">
      <w:pPr>
        <w:pStyle w:val="ListBullet3"/>
      </w:pPr>
      <w:r w:rsidRPr="00493DD7">
        <w:t>improve the quality and personalisation of care and support for working</w:t>
      </w:r>
      <w:r w:rsidR="00F97D8B">
        <w:t>-</w:t>
      </w:r>
      <w:r w:rsidRPr="00493DD7">
        <w:t xml:space="preserve">age disabled people across all social care settings </w:t>
      </w:r>
    </w:p>
    <w:p w14:paraId="4768499B" w14:textId="0C7F5296" w:rsidR="00493DD7" w:rsidRPr="00493DD7" w:rsidRDefault="00493DD7" w:rsidP="000C0843">
      <w:pPr>
        <w:pStyle w:val="ListBullet3"/>
      </w:pPr>
      <w:r w:rsidRPr="00493DD7">
        <w:t>address workforce issues across the sector, including low pay, poor career progression and high turnover</w:t>
      </w:r>
      <w:r w:rsidR="00F97D8B">
        <w:t>,</w:t>
      </w:r>
      <w:r w:rsidRPr="00493DD7">
        <w:t xml:space="preserve"> and </w:t>
      </w:r>
    </w:p>
    <w:p w14:paraId="06DC9927" w14:textId="413E34DB" w:rsidR="00493DD7" w:rsidRDefault="00493DD7" w:rsidP="000C0843">
      <w:pPr>
        <w:pStyle w:val="ListBullet3"/>
      </w:pPr>
      <w:r w:rsidRPr="00493DD7">
        <w:lastRenderedPageBreak/>
        <w:t>more effectively integrate services and achieve parity of esteem across health and social care as a single system.</w:t>
      </w:r>
      <w:r w:rsidRPr="00493DD7">
        <w:rPr>
          <w:vertAlign w:val="superscript"/>
        </w:rPr>
        <w:footnoteReference w:id="84"/>
      </w:r>
    </w:p>
    <w:p w14:paraId="689F99A3" w14:textId="7CD784F4" w:rsidR="00D53038" w:rsidRDefault="00D53038" w:rsidP="006C1E0B">
      <w:pPr>
        <w:pStyle w:val="ListNumber"/>
        <w:numPr>
          <w:ilvl w:val="0"/>
          <w:numId w:val="0"/>
        </w:numPr>
      </w:pPr>
    </w:p>
    <w:p w14:paraId="3DD21040" w14:textId="46BA743F" w:rsidR="00493DD7" w:rsidRDefault="00493DD7" w:rsidP="006C1E0B">
      <w:pPr>
        <w:pStyle w:val="ListNumber"/>
        <w:numPr>
          <w:ilvl w:val="0"/>
          <w:numId w:val="0"/>
        </w:numPr>
      </w:pPr>
      <w:r w:rsidRPr="005568A5">
        <w:t xml:space="preserve">Care homes provide important support for older and disabled people with care needs, but they </w:t>
      </w:r>
      <w:r>
        <w:t xml:space="preserve">can </w:t>
      </w:r>
      <w:r w:rsidRPr="005568A5">
        <w:t xml:space="preserve">also </w:t>
      </w:r>
      <w:r>
        <w:t xml:space="preserve">curtail rights and </w:t>
      </w:r>
      <w:r w:rsidRPr="005568A5">
        <w:t>freedom</w:t>
      </w:r>
      <w:r>
        <w:t>s</w:t>
      </w:r>
      <w:r w:rsidRPr="005568A5">
        <w:t xml:space="preserve">, </w:t>
      </w:r>
      <w:r>
        <w:t xml:space="preserve">including </w:t>
      </w:r>
      <w:r w:rsidR="00F97D8B">
        <w:t xml:space="preserve">those </w:t>
      </w:r>
      <w:r>
        <w:t xml:space="preserve">of </w:t>
      </w:r>
      <w:r w:rsidRPr="005568A5">
        <w:t>disabled people to live as independently as possible. There is evidence that equality and human rights standards have not been upheld in residential care settings during the pandemic, including in key decisions about care home admissions, visits and access to critical care.</w:t>
      </w:r>
      <w:r w:rsidRPr="005568A5">
        <w:rPr>
          <w:rStyle w:val="FootnoteReference"/>
          <w:rFonts w:ascii="Arial" w:hAnsi="Arial" w:cs="Arial"/>
          <w:szCs w:val="24"/>
        </w:rPr>
        <w:footnoteReference w:id="85"/>
      </w:r>
      <w:r w:rsidRPr="005568A5">
        <w:t xml:space="preserve"> Restrictions to visits and daily living activities </w:t>
      </w:r>
      <w:r w:rsidR="00F97D8B">
        <w:t>–</w:t>
      </w:r>
      <w:r w:rsidRPr="005568A5">
        <w:t xml:space="preserve"> put in place to protect the right to life </w:t>
      </w:r>
      <w:r w:rsidR="00F97D8B">
        <w:t>–</w:t>
      </w:r>
      <w:r w:rsidRPr="005568A5">
        <w:t xml:space="preserve"> have led to restrictions of other human rights, including the right to independent living, respect for private and family life, and the right to liberty.</w:t>
      </w:r>
      <w:r w:rsidRPr="005568A5">
        <w:rPr>
          <w:rStyle w:val="FootnoteReference"/>
          <w:rFonts w:ascii="Arial" w:hAnsi="Arial" w:cs="Arial"/>
          <w:szCs w:val="24"/>
        </w:rPr>
        <w:footnoteReference w:id="86"/>
      </w:r>
      <w:r w:rsidRPr="005568A5">
        <w:t xml:space="preserve"> </w:t>
      </w:r>
      <w:r w:rsidRPr="00A075B1">
        <w:t>We have also received concerning intelligenc</w:t>
      </w:r>
      <w:r>
        <w:t xml:space="preserve">e that some care home </w:t>
      </w:r>
      <w:r w:rsidRPr="00A075B1">
        <w:t>have continued to operate blanket or unduly restrictive policies even when visits should have been permitted under national guidance</w:t>
      </w:r>
      <w:r w:rsidRPr="005568A5">
        <w:t>.</w:t>
      </w:r>
      <w:r w:rsidRPr="005568A5">
        <w:rPr>
          <w:rStyle w:val="FootnoteReference"/>
          <w:rFonts w:ascii="Arial" w:hAnsi="Arial" w:cs="Arial"/>
          <w:szCs w:val="24"/>
        </w:rPr>
        <w:footnoteReference w:id="87"/>
      </w:r>
      <w:r w:rsidRPr="005568A5">
        <w:t xml:space="preserve"> </w:t>
      </w:r>
    </w:p>
    <w:p w14:paraId="7E62D673" w14:textId="77777777" w:rsidR="00FE2687" w:rsidRPr="005568A5" w:rsidRDefault="00FE2687" w:rsidP="006C1E0B">
      <w:pPr>
        <w:pStyle w:val="ListNumber"/>
        <w:numPr>
          <w:ilvl w:val="0"/>
          <w:numId w:val="0"/>
        </w:numPr>
        <w:ind w:left="567"/>
      </w:pPr>
    </w:p>
    <w:p w14:paraId="7A6BB948" w14:textId="7EE1B4BF" w:rsidR="00493DD7" w:rsidRDefault="00493DD7" w:rsidP="006C1E0B">
      <w:pPr>
        <w:pStyle w:val="ListNumber"/>
        <w:numPr>
          <w:ilvl w:val="0"/>
          <w:numId w:val="0"/>
        </w:numPr>
      </w:pPr>
      <w:r w:rsidRPr="001D471D">
        <w:t xml:space="preserve">Existing equality and human rights laws and standards, including Article 19 of the CRPD, </w:t>
      </w:r>
      <w:r w:rsidRPr="00A00A5D">
        <w:t xml:space="preserve">provide a practical framework to navigate decisions about fulfilling </w:t>
      </w:r>
      <w:r w:rsidR="00F97D8B">
        <w:t>people’s</w:t>
      </w:r>
      <w:r w:rsidRPr="00A00A5D">
        <w:t xml:space="preserve"> full range of rights, helping to assess the impact of restrictions and whether they are proportionate and appropriate to individual needs.</w:t>
      </w:r>
      <w:r>
        <w:rPr>
          <w:rStyle w:val="FootnoteReference"/>
          <w:rFonts w:ascii="Arial" w:hAnsi="Arial" w:cs="Arial"/>
          <w:szCs w:val="24"/>
        </w:rPr>
        <w:footnoteReference w:id="88"/>
      </w:r>
      <w:r w:rsidRPr="001D471D">
        <w:t xml:space="preserve"> Equality and human rights laws should be at the heart of decision</w:t>
      </w:r>
      <w:r w:rsidR="00F97D8B">
        <w:t xml:space="preserve"> </w:t>
      </w:r>
      <w:r w:rsidRPr="001D471D">
        <w:t xml:space="preserve">making, both in the ongoing response to the pandemic and any future reform of the social care system. </w:t>
      </w:r>
    </w:p>
    <w:p w14:paraId="6C73B130" w14:textId="77777777" w:rsidR="00493DD7" w:rsidRPr="00333D9A" w:rsidRDefault="00493DD7" w:rsidP="00493DD7">
      <w:pPr>
        <w:pStyle w:val="ListNumber"/>
        <w:numPr>
          <w:ilvl w:val="0"/>
          <w:numId w:val="0"/>
        </w:numPr>
      </w:pPr>
    </w:p>
    <w:p w14:paraId="000E953C" w14:textId="563CC22E" w:rsidR="00493DD7" w:rsidRPr="00493DD7" w:rsidRDefault="00211230" w:rsidP="00193935">
      <w:pPr>
        <w:pStyle w:val="Heading3"/>
      </w:pPr>
      <w:r>
        <w:lastRenderedPageBreak/>
        <w:t>Recommendations</w:t>
      </w:r>
    </w:p>
    <w:p w14:paraId="309E1608" w14:textId="33DFF55B" w:rsidR="00493DD7" w:rsidRPr="00493DD7" w:rsidRDefault="00493DD7" w:rsidP="00193935">
      <w:pPr>
        <w:pStyle w:val="ListBullet3"/>
      </w:pPr>
      <w:r w:rsidRPr="00493DD7">
        <w:t>The UK Government should ensure that any planned reforms to the adult social care system are fully compliant with Article 19 of the CRPD,</w:t>
      </w:r>
      <w:r w:rsidR="002A0C84">
        <w:t xml:space="preserve"> </w:t>
      </w:r>
      <w:r w:rsidR="002B324A">
        <w:t>i</w:t>
      </w:r>
      <w:r w:rsidR="002B324A" w:rsidRPr="002B324A">
        <w:t>n line with our proposed legal model for incorporation of Article 19 into domestic law</w:t>
      </w:r>
      <w:r w:rsidR="002B324A">
        <w:t xml:space="preserve"> (</w:t>
      </w:r>
      <w:r w:rsidR="002B324A" w:rsidRPr="002B324A">
        <w:t>see appendix</w:t>
      </w:r>
      <w:r w:rsidR="002B324A">
        <w:t>),</w:t>
      </w:r>
      <w:r w:rsidRPr="00493DD7">
        <w:t xml:space="preserve"> and other equality and human rights laws. </w:t>
      </w:r>
    </w:p>
    <w:p w14:paraId="4E0AB9DB" w14:textId="7457CBC4" w:rsidR="00493DD7" w:rsidRPr="00493DD7" w:rsidRDefault="00493DD7" w:rsidP="00193935">
      <w:pPr>
        <w:pStyle w:val="ListBullet3"/>
      </w:pPr>
      <w:r w:rsidRPr="00493DD7">
        <w:t>The UK Government should commit to sustained resourcing of social care services</w:t>
      </w:r>
      <w:r w:rsidR="004C510C">
        <w:t>,</w:t>
      </w:r>
      <w:r w:rsidRPr="00493DD7">
        <w:t xml:space="preserve"> during and after the pandemic, and provide sufficient funding to each local authority to meet the independent living needs of disabled people in their area through mechanisms (such as ring fencing) that ensure the funding is used for that purpose.</w:t>
      </w:r>
    </w:p>
    <w:p w14:paraId="07538AF0" w14:textId="3C9D3BAF" w:rsidR="00493DD7" w:rsidRPr="00493DD7" w:rsidRDefault="00493DD7" w:rsidP="00193935">
      <w:pPr>
        <w:pStyle w:val="ListBullet3"/>
      </w:pPr>
      <w:r w:rsidRPr="00493DD7">
        <w:t xml:space="preserve">The UK Government should continue to take urgent steps to ensure disabled people are </w:t>
      </w:r>
      <w:r w:rsidRPr="00493DD7">
        <w:rPr>
          <w:lang w:val="en"/>
        </w:rPr>
        <w:t>involved in</w:t>
      </w:r>
      <w:r w:rsidR="004C510C">
        <w:rPr>
          <w:lang w:val="en"/>
        </w:rPr>
        <w:t>,</w:t>
      </w:r>
      <w:r w:rsidRPr="00493DD7">
        <w:rPr>
          <w:lang w:val="en"/>
        </w:rPr>
        <w:t xml:space="preserve"> and consulted on</w:t>
      </w:r>
      <w:r w:rsidR="004C510C">
        <w:rPr>
          <w:lang w:val="en"/>
        </w:rPr>
        <w:t>,</w:t>
      </w:r>
      <w:r w:rsidRPr="00493DD7">
        <w:rPr>
          <w:lang w:val="en"/>
        </w:rPr>
        <w:t xml:space="preserve"> decisions about their care and treatment. Decisions should be supported by clear, accessible and consistent guidance that </w:t>
      </w:r>
      <w:r w:rsidRPr="00493DD7">
        <w:rPr>
          <w:lang w:val="en-US"/>
        </w:rPr>
        <w:t xml:space="preserve">fully complies with human rights standards, including the principles of individual autonomy and non-discrimination. </w:t>
      </w:r>
    </w:p>
    <w:p w14:paraId="2B05C3F9" w14:textId="31D4622D" w:rsidR="00493DD7" w:rsidRPr="00493DD7" w:rsidRDefault="00493DD7" w:rsidP="00193935">
      <w:pPr>
        <w:pStyle w:val="ListBullet3"/>
      </w:pPr>
      <w:r w:rsidRPr="00493DD7">
        <w:t xml:space="preserve">The Department of Health and Social Care should ensure that any restrictions established in residential care settings in response to the coronavirus pandemic – both in policy and in practice in individual care homes </w:t>
      </w:r>
      <w:r w:rsidR="004C510C">
        <w:t>–</w:t>
      </w:r>
      <w:r w:rsidRPr="00493DD7">
        <w:t xml:space="preserve"> are compliant with Article 19 of the CRPD and other equality and human rights standards. Restrictions should be kept under review and updated to allow further relaxations to be introduced as soon as it is safe. </w:t>
      </w:r>
    </w:p>
    <w:p w14:paraId="6A5FF192" w14:textId="222C2DF0" w:rsidR="00D5070B" w:rsidRPr="00D5070B" w:rsidRDefault="00493DD7" w:rsidP="00AF32A5">
      <w:pPr>
        <w:pStyle w:val="Heading1"/>
      </w:pPr>
      <w:bookmarkStart w:id="49" w:name="_Toc71213925"/>
      <w:r>
        <w:lastRenderedPageBreak/>
        <w:t>Equal participation in society</w:t>
      </w:r>
      <w:bookmarkEnd w:id="49"/>
    </w:p>
    <w:p w14:paraId="0CB5E751" w14:textId="77777777" w:rsidR="00AF32A5" w:rsidRPr="00AF32A5" w:rsidRDefault="00AF32A5" w:rsidP="00AF32A5">
      <w:pPr>
        <w:pStyle w:val="Boxtext"/>
        <w:rPr>
          <w:b/>
        </w:rPr>
      </w:pPr>
      <w:bookmarkStart w:id="50" w:name="_Hlk66529400"/>
      <w:r w:rsidRPr="00AF32A5">
        <w:rPr>
          <w:b/>
        </w:rPr>
        <w:t>UN CRPD – Article 19(c):</w:t>
      </w:r>
    </w:p>
    <w:p w14:paraId="30CC5C37" w14:textId="3BC72214" w:rsidR="00AF32A5" w:rsidRDefault="002B324A" w:rsidP="00AF32A5">
      <w:pPr>
        <w:pStyle w:val="Boxtext"/>
      </w:pPr>
      <w:r>
        <w:t>‘</w:t>
      </w:r>
      <w:r w:rsidR="00AF32A5" w:rsidRPr="00AF32A5">
        <w:t xml:space="preserve">[States Parties shall ensure that] </w:t>
      </w:r>
      <w:r w:rsidR="00AF32A5" w:rsidRPr="00AF32A5">
        <w:rPr>
          <w:lang w:val="en-US"/>
        </w:rPr>
        <w:t>Community services and facilities for the general population are available on an equal basis to persons with disabilities and are responsive to their needs.</w:t>
      </w:r>
      <w:r>
        <w:rPr>
          <w:lang w:val="en-US"/>
        </w:rPr>
        <w:t>’</w:t>
      </w:r>
    </w:p>
    <w:bookmarkEnd w:id="50"/>
    <w:p w14:paraId="3BCFE3DA" w14:textId="540254C4" w:rsidR="00D72A35" w:rsidRPr="00D72A35" w:rsidRDefault="00D72A35" w:rsidP="006C1E0B">
      <w:pPr>
        <w:pStyle w:val="ListNumber"/>
        <w:numPr>
          <w:ilvl w:val="0"/>
          <w:numId w:val="0"/>
        </w:numPr>
      </w:pPr>
      <w:r w:rsidRPr="00D72A35">
        <w:t xml:space="preserve">The right to be included in the community under Article 19 </w:t>
      </w:r>
      <w:r w:rsidR="008E6477">
        <w:t xml:space="preserve">of the </w:t>
      </w:r>
      <w:r w:rsidRPr="00D72A35">
        <w:t>CRPD necessitates ensuring disabled people’s full and effective inclusion and participation in society, on an equal basis with non-disabled people. The CRPD makes clear that there are a number of preconditions to enable disabled people’s full and equal participation in society. These include the provision of:</w:t>
      </w:r>
    </w:p>
    <w:p w14:paraId="0BDC53A5" w14:textId="193CEEF4" w:rsidR="00D72A35" w:rsidRPr="000A4071" w:rsidRDefault="008E6477" w:rsidP="000C0843">
      <w:pPr>
        <w:pStyle w:val="ListBullet3"/>
      </w:pPr>
      <w:r>
        <w:t>i</w:t>
      </w:r>
      <w:r w:rsidR="00D72A35" w:rsidRPr="000A4071">
        <w:t xml:space="preserve">nclusive and accessible education, employment and healthcare  </w:t>
      </w:r>
    </w:p>
    <w:p w14:paraId="1E81A128" w14:textId="2C2E5077" w:rsidR="00D72A35" w:rsidRPr="000A4071" w:rsidRDefault="008E6477" w:rsidP="000C0843">
      <w:pPr>
        <w:pStyle w:val="ListBullet3"/>
      </w:pPr>
      <w:r>
        <w:t>a</w:t>
      </w:r>
      <w:r w:rsidR="00D72A35" w:rsidRPr="000A4071">
        <w:t>n adequate standard of living and social protection</w:t>
      </w:r>
      <w:r>
        <w:t>,</w:t>
      </w:r>
      <w:r w:rsidR="00D72A35" w:rsidRPr="000A4071">
        <w:t xml:space="preserve"> and</w:t>
      </w:r>
    </w:p>
    <w:p w14:paraId="524B758B" w14:textId="07D1BD20" w:rsidR="00AF32A5" w:rsidRDefault="008E6477" w:rsidP="000C0843">
      <w:pPr>
        <w:pStyle w:val="ListBullet3"/>
      </w:pPr>
      <w:r>
        <w:t>a</w:t>
      </w:r>
      <w:r w:rsidR="00D72A35" w:rsidRPr="000A4071">
        <w:t>ccessible community facilities, goods and services.</w:t>
      </w:r>
      <w:r w:rsidR="00D72A35" w:rsidRPr="000A4071">
        <w:rPr>
          <w:rStyle w:val="FootnoteReference"/>
          <w:rFonts w:ascii="Arial" w:hAnsi="Arial" w:cs="Arial"/>
          <w:color w:val="000000"/>
          <w:szCs w:val="24"/>
        </w:rPr>
        <w:footnoteReference w:id="89"/>
      </w:r>
      <w:r w:rsidR="00D72A35" w:rsidRPr="000A4071">
        <w:t xml:space="preserve"> </w:t>
      </w:r>
    </w:p>
    <w:p w14:paraId="4FB30211" w14:textId="77777777" w:rsidR="00FE2687" w:rsidRDefault="00FE2687" w:rsidP="006C1E0B">
      <w:pPr>
        <w:pStyle w:val="ListBullet3"/>
        <w:numPr>
          <w:ilvl w:val="0"/>
          <w:numId w:val="0"/>
        </w:numPr>
        <w:ind w:left="926"/>
      </w:pPr>
    </w:p>
    <w:p w14:paraId="35DDE44C" w14:textId="68FAD105" w:rsidR="00D72A35" w:rsidRDefault="00D72A35" w:rsidP="002B5B9C">
      <w:pPr>
        <w:pStyle w:val="ListNumber"/>
        <w:numPr>
          <w:ilvl w:val="0"/>
          <w:numId w:val="0"/>
        </w:numPr>
      </w:pPr>
      <w:r w:rsidRPr="00FF770C">
        <w:t xml:space="preserve">However, </w:t>
      </w:r>
      <w:r>
        <w:t>d</w:t>
      </w:r>
      <w:r w:rsidRPr="00FF770C">
        <w:t>isabled people still face persistent barriers in all areas of life that prevent their full and equal participation in society: in the education system, in the labour market, and in accessing appropriate housing, public transport</w:t>
      </w:r>
      <w:r>
        <w:t>, healthcare</w:t>
      </w:r>
      <w:r w:rsidRPr="00FF770C">
        <w:t xml:space="preserve"> and other public services. The coronavirus pandemic has also created and exacerbated barriers to disabled people’s full and equal inclusion in society, including unequal access to healthcare, the failure to provide public safety information in accessible formats, and new challenges in accessing vital food and medicines. </w:t>
      </w:r>
      <w:r w:rsidR="002B5B9C">
        <w:br w:type="page"/>
      </w:r>
    </w:p>
    <w:p w14:paraId="675F4924" w14:textId="23885434" w:rsidR="00D72A35" w:rsidRPr="00FF770C" w:rsidRDefault="00D72A35" w:rsidP="00D72A35">
      <w:pPr>
        <w:pStyle w:val="Heading2"/>
      </w:pPr>
      <w:bookmarkStart w:id="52" w:name="_Toc71213926"/>
      <w:r>
        <w:lastRenderedPageBreak/>
        <w:t>Inclusive education</w:t>
      </w:r>
      <w:bookmarkEnd w:id="52"/>
    </w:p>
    <w:p w14:paraId="659F73DF" w14:textId="77777777" w:rsidR="00D53038" w:rsidRDefault="00D53038" w:rsidP="006C1E0B">
      <w:pPr>
        <w:pStyle w:val="ListNumber"/>
        <w:numPr>
          <w:ilvl w:val="0"/>
          <w:numId w:val="0"/>
        </w:numPr>
        <w:rPr>
          <w:rFonts w:ascii="Arial" w:hAnsi="Arial" w:cs="Arial"/>
          <w:color w:val="000000"/>
          <w:szCs w:val="24"/>
        </w:rPr>
      </w:pPr>
    </w:p>
    <w:p w14:paraId="129B2CB7" w14:textId="2DC3D03E" w:rsidR="00D72A35" w:rsidRPr="00D53038" w:rsidRDefault="008B45E8" w:rsidP="006C1E0B">
      <w:pPr>
        <w:pStyle w:val="ListNumber"/>
        <w:numPr>
          <w:ilvl w:val="0"/>
          <w:numId w:val="0"/>
        </w:numPr>
        <w:rPr>
          <w:rFonts w:ascii="Arial" w:hAnsi="Arial" w:cs="Arial"/>
          <w:color w:val="000000"/>
          <w:szCs w:val="24"/>
        </w:rPr>
      </w:pPr>
      <w:r w:rsidRPr="00D53038">
        <w:rPr>
          <w:rFonts w:ascii="Arial" w:hAnsi="Arial" w:cs="Arial"/>
          <w:color w:val="000000"/>
          <w:szCs w:val="24"/>
        </w:rPr>
        <w:t xml:space="preserve">The right to an inclusive education is guaranteed under Article 24 of the CRPD and is inherently linked to disabled people’s full and equal participation in society. </w:t>
      </w:r>
      <w:r w:rsidR="00D72A35" w:rsidRPr="00D53038">
        <w:rPr>
          <w:rFonts w:ascii="Arial" w:hAnsi="Arial" w:cs="Arial"/>
          <w:color w:val="000000"/>
          <w:szCs w:val="24"/>
        </w:rPr>
        <w:t xml:space="preserve">The </w:t>
      </w:r>
      <w:r w:rsidR="001D6B1D" w:rsidRPr="00D53038">
        <w:rPr>
          <w:rFonts w:ascii="Arial" w:hAnsi="Arial" w:cs="Arial"/>
          <w:color w:val="000000"/>
          <w:szCs w:val="24"/>
        </w:rPr>
        <w:t xml:space="preserve">UN </w:t>
      </w:r>
      <w:r w:rsidR="00D72A35" w:rsidRPr="00D53038">
        <w:rPr>
          <w:rFonts w:ascii="Arial" w:hAnsi="Arial" w:cs="Arial"/>
          <w:color w:val="000000"/>
          <w:szCs w:val="24"/>
        </w:rPr>
        <w:t xml:space="preserve">Committee </w:t>
      </w:r>
      <w:r w:rsidR="00085C79" w:rsidRPr="00D53038">
        <w:rPr>
          <w:rFonts w:ascii="Arial" w:hAnsi="Arial" w:cs="Arial"/>
          <w:color w:val="000000"/>
          <w:szCs w:val="24"/>
        </w:rPr>
        <w:t xml:space="preserve">on the Rights of Persons with Disabilities </w:t>
      </w:r>
      <w:r w:rsidR="00D72A35" w:rsidRPr="00D53038">
        <w:rPr>
          <w:rFonts w:ascii="Arial" w:hAnsi="Arial" w:cs="Arial"/>
          <w:color w:val="000000"/>
          <w:szCs w:val="24"/>
        </w:rPr>
        <w:t xml:space="preserve">has made clear that inclusive education plays an important role in </w:t>
      </w:r>
      <w:r w:rsidR="00085C79" w:rsidRPr="00D53038">
        <w:rPr>
          <w:rFonts w:ascii="Arial" w:hAnsi="Arial" w:cs="Arial"/>
          <w:color w:val="000000"/>
          <w:szCs w:val="24"/>
        </w:rPr>
        <w:t>‘</w:t>
      </w:r>
      <w:r w:rsidR="00D72A35" w:rsidRPr="00D53038">
        <w:rPr>
          <w:rFonts w:ascii="Arial" w:hAnsi="Arial" w:cs="Arial"/>
          <w:color w:val="000000"/>
          <w:szCs w:val="24"/>
        </w:rPr>
        <w:t>building the strengths, skills and competencies necessary</w:t>
      </w:r>
      <w:r w:rsidR="00085C79" w:rsidRPr="00D53038">
        <w:rPr>
          <w:rFonts w:ascii="Arial" w:hAnsi="Arial" w:cs="Arial"/>
          <w:color w:val="000000"/>
          <w:szCs w:val="24"/>
        </w:rPr>
        <w:t>’</w:t>
      </w:r>
      <w:r w:rsidR="00D72A35" w:rsidRPr="00D53038">
        <w:rPr>
          <w:rFonts w:ascii="Arial" w:hAnsi="Arial" w:cs="Arial"/>
          <w:color w:val="000000"/>
          <w:szCs w:val="24"/>
        </w:rPr>
        <w:t xml:space="preserve"> for disabled people </w:t>
      </w:r>
      <w:r w:rsidR="00085C79" w:rsidRPr="00D53038">
        <w:rPr>
          <w:rFonts w:ascii="Arial" w:hAnsi="Arial" w:cs="Arial"/>
          <w:color w:val="000000"/>
          <w:szCs w:val="24"/>
        </w:rPr>
        <w:t>‘</w:t>
      </w:r>
      <w:r w:rsidR="00D72A35" w:rsidRPr="00D53038">
        <w:rPr>
          <w:rFonts w:ascii="Arial" w:hAnsi="Arial" w:cs="Arial"/>
          <w:color w:val="000000"/>
          <w:szCs w:val="24"/>
        </w:rPr>
        <w:t>to enjoy, benefit from and contribute to their communities</w:t>
      </w:r>
      <w:r w:rsidR="00085C79" w:rsidRPr="00D53038">
        <w:rPr>
          <w:rFonts w:ascii="Arial" w:hAnsi="Arial" w:cs="Arial"/>
          <w:color w:val="000000"/>
          <w:szCs w:val="24"/>
        </w:rPr>
        <w:t>’</w:t>
      </w:r>
      <w:r w:rsidR="00D72A35" w:rsidRPr="00D53038">
        <w:rPr>
          <w:rFonts w:ascii="Arial" w:hAnsi="Arial" w:cs="Arial"/>
          <w:color w:val="000000"/>
          <w:szCs w:val="24"/>
        </w:rPr>
        <w:t>.</w:t>
      </w:r>
      <w:r w:rsidR="00D72A35" w:rsidRPr="00D72A35">
        <w:rPr>
          <w:rFonts w:ascii="Arial" w:hAnsi="Arial" w:cs="Arial"/>
          <w:color w:val="000000"/>
          <w:szCs w:val="24"/>
          <w:vertAlign w:val="superscript"/>
        </w:rPr>
        <w:footnoteReference w:id="90"/>
      </w:r>
      <w:r w:rsidR="00D72A35" w:rsidRPr="00D53038">
        <w:rPr>
          <w:rFonts w:ascii="Arial" w:hAnsi="Arial" w:cs="Arial"/>
          <w:color w:val="000000"/>
          <w:szCs w:val="24"/>
        </w:rPr>
        <w:t xml:space="preserve"> In England, </w:t>
      </w:r>
      <w:r w:rsidR="002B324A" w:rsidRPr="00D53038">
        <w:rPr>
          <w:rFonts w:ascii="Arial" w:hAnsi="Arial" w:cs="Arial"/>
          <w:color w:val="000000"/>
          <w:szCs w:val="24"/>
        </w:rPr>
        <w:t xml:space="preserve">the Children and Families Act 2014 attempted </w:t>
      </w:r>
      <w:r w:rsidR="00D72A35" w:rsidRPr="00D53038">
        <w:rPr>
          <w:rFonts w:ascii="Arial" w:hAnsi="Arial" w:cs="Arial"/>
          <w:color w:val="000000"/>
          <w:szCs w:val="24"/>
        </w:rPr>
        <w:t>to address long</w:t>
      </w:r>
      <w:r w:rsidR="00085C79" w:rsidRPr="00D53038">
        <w:rPr>
          <w:rFonts w:ascii="Arial" w:hAnsi="Arial" w:cs="Arial"/>
          <w:color w:val="000000"/>
          <w:szCs w:val="24"/>
        </w:rPr>
        <w:t>-</w:t>
      </w:r>
      <w:r w:rsidR="00D72A35" w:rsidRPr="00D53038">
        <w:rPr>
          <w:rFonts w:ascii="Arial" w:hAnsi="Arial" w:cs="Arial"/>
          <w:color w:val="000000"/>
          <w:szCs w:val="24"/>
        </w:rPr>
        <w:t>standing concerns about the provision of support for children and young people with special educational needs or disabilities (SEND),</w:t>
      </w:r>
      <w:r w:rsidR="00D72A35" w:rsidRPr="00D72A35">
        <w:rPr>
          <w:rFonts w:ascii="Arial" w:hAnsi="Arial" w:cs="Arial"/>
          <w:color w:val="000000"/>
          <w:szCs w:val="24"/>
          <w:vertAlign w:val="superscript"/>
        </w:rPr>
        <w:footnoteReference w:id="91"/>
      </w:r>
      <w:r w:rsidR="00D72A35" w:rsidRPr="00D53038">
        <w:rPr>
          <w:rFonts w:ascii="Arial" w:hAnsi="Arial" w:cs="Arial"/>
          <w:color w:val="000000"/>
          <w:szCs w:val="24"/>
        </w:rPr>
        <w:t xml:space="preserve"> including the introduction of education, health and care </w:t>
      </w:r>
      <w:r w:rsidR="00E5739F" w:rsidRPr="00D53038">
        <w:rPr>
          <w:rFonts w:ascii="Arial" w:hAnsi="Arial" w:cs="Arial"/>
          <w:color w:val="000000"/>
          <w:szCs w:val="24"/>
        </w:rPr>
        <w:t xml:space="preserve">(EHC) </w:t>
      </w:r>
      <w:r w:rsidR="00D72A35" w:rsidRPr="00D53038">
        <w:rPr>
          <w:rFonts w:ascii="Arial" w:hAnsi="Arial" w:cs="Arial"/>
          <w:color w:val="000000"/>
          <w:szCs w:val="24"/>
        </w:rPr>
        <w:t>plans</w:t>
      </w:r>
      <w:r w:rsidR="008D05C5" w:rsidRPr="00D53038">
        <w:rPr>
          <w:rFonts w:ascii="Arial" w:hAnsi="Arial" w:cs="Arial"/>
          <w:color w:val="000000"/>
          <w:szCs w:val="24"/>
        </w:rPr>
        <w:t xml:space="preserve">. </w:t>
      </w:r>
      <w:r w:rsidR="002B324A" w:rsidRPr="00D53038">
        <w:rPr>
          <w:rFonts w:ascii="Arial" w:hAnsi="Arial" w:cs="Arial"/>
          <w:color w:val="000000"/>
          <w:szCs w:val="24"/>
        </w:rPr>
        <w:t xml:space="preserve">But </w:t>
      </w:r>
      <w:r w:rsidR="00D72A35" w:rsidRPr="00D53038">
        <w:rPr>
          <w:rFonts w:ascii="Arial" w:hAnsi="Arial" w:cs="Arial"/>
          <w:color w:val="000000"/>
          <w:szCs w:val="24"/>
        </w:rPr>
        <w:t>sufficient progress</w:t>
      </w:r>
      <w:r w:rsidR="002B324A" w:rsidRPr="00D53038">
        <w:rPr>
          <w:rFonts w:ascii="Arial" w:hAnsi="Arial" w:cs="Arial"/>
          <w:color w:val="000000"/>
          <w:szCs w:val="24"/>
        </w:rPr>
        <w:t xml:space="preserve"> has yet to be made, </w:t>
      </w:r>
      <w:r w:rsidR="008D05C5" w:rsidRPr="00D53038">
        <w:rPr>
          <w:rFonts w:ascii="Arial" w:hAnsi="Arial" w:cs="Arial"/>
          <w:color w:val="000000"/>
          <w:szCs w:val="24"/>
        </w:rPr>
        <w:t>and</w:t>
      </w:r>
      <w:r w:rsidR="008D05C5" w:rsidRPr="008D05C5">
        <w:t xml:space="preserve"> </w:t>
      </w:r>
      <w:r w:rsidR="008D05C5">
        <w:t>c</w:t>
      </w:r>
      <w:r w:rsidR="008D05C5" w:rsidRPr="00D53038">
        <w:rPr>
          <w:rFonts w:ascii="Arial" w:hAnsi="Arial" w:cs="Arial"/>
          <w:color w:val="000000"/>
          <w:szCs w:val="24"/>
        </w:rPr>
        <w:t>oncerns continue to be expressed about delays, long-term funding, poor information and communication, and dissatisfaction on the part of parents</w:t>
      </w:r>
      <w:r w:rsidR="00D72A35" w:rsidRPr="00D53038">
        <w:rPr>
          <w:rFonts w:ascii="Arial" w:hAnsi="Arial" w:cs="Arial"/>
          <w:color w:val="000000"/>
          <w:szCs w:val="24"/>
        </w:rPr>
        <w:t>.</w:t>
      </w:r>
      <w:r w:rsidR="00D72A35" w:rsidRPr="00D72A35">
        <w:rPr>
          <w:rFonts w:ascii="Arial" w:hAnsi="Arial" w:cs="Arial"/>
          <w:color w:val="000000"/>
          <w:szCs w:val="24"/>
          <w:vertAlign w:val="superscript"/>
        </w:rPr>
        <w:footnoteReference w:id="92"/>
      </w:r>
    </w:p>
    <w:p w14:paraId="125FCA01" w14:textId="77777777" w:rsidR="00D53038" w:rsidRDefault="00D53038" w:rsidP="006C1E0B">
      <w:pPr>
        <w:pStyle w:val="ListNumber"/>
        <w:numPr>
          <w:ilvl w:val="0"/>
          <w:numId w:val="0"/>
        </w:numPr>
        <w:ind w:left="567" w:hanging="567"/>
      </w:pPr>
    </w:p>
    <w:p w14:paraId="5130FEE7" w14:textId="5EA9121E" w:rsidR="00D72A35" w:rsidRDefault="00D72A35" w:rsidP="006C1E0B">
      <w:pPr>
        <w:pStyle w:val="ListNumber"/>
        <w:numPr>
          <w:ilvl w:val="0"/>
          <w:numId w:val="0"/>
        </w:numPr>
      </w:pPr>
      <w:r w:rsidRPr="000A4071">
        <w:t>Disabled children and adults continue to face a number of educational disparities.</w:t>
      </w:r>
      <w:r w:rsidRPr="000A4071">
        <w:rPr>
          <w:rStyle w:val="FootnoteReference"/>
          <w:rFonts w:ascii="Arial" w:hAnsi="Arial" w:cs="Arial"/>
          <w:szCs w:val="24"/>
        </w:rPr>
        <w:footnoteReference w:id="93"/>
      </w:r>
      <w:r w:rsidRPr="000A4071">
        <w:t xml:space="preserve"> For example, children with SEN continue to have significantly lower attainment than children without SEN</w:t>
      </w:r>
      <w:r w:rsidR="00EF3AE1">
        <w:t xml:space="preserve">. </w:t>
      </w:r>
      <w:r w:rsidR="00EF3AE1" w:rsidRPr="00EF3AE1">
        <w:t xml:space="preserve">In England, the difference in the percentage of pupils who achieved grades 9–4 in English and </w:t>
      </w:r>
      <w:r w:rsidR="00EF3AE1">
        <w:t>m</w:t>
      </w:r>
      <w:r w:rsidR="00EF3AE1" w:rsidRPr="00EF3AE1">
        <w:t>aths in 2018</w:t>
      </w:r>
      <w:r w:rsidR="002B5B9C" w:rsidRPr="00EF3AE1">
        <w:t>–</w:t>
      </w:r>
      <w:r w:rsidR="00EF3AE1" w:rsidRPr="00EF3AE1">
        <w:t>9</w:t>
      </w:r>
      <w:r w:rsidR="00EF3AE1">
        <w:t xml:space="preserve"> </w:t>
      </w:r>
      <w:r w:rsidR="00EF3AE1" w:rsidRPr="00EF3AE1">
        <w:t xml:space="preserve">was very large between pupils with </w:t>
      </w:r>
      <w:r w:rsidR="00EF3AE1">
        <w:t>S</w:t>
      </w:r>
      <w:r w:rsidR="00EF3AE1" w:rsidRPr="00EF3AE1">
        <w:t>EN</w:t>
      </w:r>
      <w:r w:rsidR="00EF3AE1">
        <w:t xml:space="preserve"> (26.7%)</w:t>
      </w:r>
      <w:r w:rsidR="00EF3AE1" w:rsidRPr="00EF3AE1">
        <w:t xml:space="preserve"> and those without (71</w:t>
      </w:r>
      <w:r w:rsidR="00EF3AE1">
        <w:t>%</w:t>
      </w:r>
      <w:r w:rsidR="00EF3AE1" w:rsidRPr="00EF3AE1">
        <w:t>).</w:t>
      </w:r>
      <w:r w:rsidRPr="000A4071">
        <w:t xml:space="preserve"> </w:t>
      </w:r>
      <w:r w:rsidR="00EF3AE1">
        <w:t>Children with SEN</w:t>
      </w:r>
      <w:r w:rsidR="008D05C5">
        <w:t xml:space="preserve"> </w:t>
      </w:r>
      <w:r w:rsidRPr="000A4071">
        <w:t xml:space="preserve">are </w:t>
      </w:r>
      <w:r w:rsidR="008D05C5">
        <w:t xml:space="preserve">also </w:t>
      </w:r>
      <w:r w:rsidRPr="000A4071">
        <w:t>more likely to be excluded from school.</w:t>
      </w:r>
      <w:r w:rsidRPr="000A4071">
        <w:rPr>
          <w:rStyle w:val="FootnoteReference"/>
          <w:rFonts w:ascii="Arial" w:hAnsi="Arial" w:cs="Arial"/>
          <w:szCs w:val="24"/>
        </w:rPr>
        <w:footnoteReference w:id="94"/>
      </w:r>
      <w:r>
        <w:t xml:space="preserve"> </w:t>
      </w:r>
    </w:p>
    <w:p w14:paraId="7E597C80" w14:textId="77777777" w:rsidR="00D53038" w:rsidRPr="006C1E0B" w:rsidRDefault="00D53038" w:rsidP="006C1E0B">
      <w:pPr>
        <w:pStyle w:val="ListNumber"/>
        <w:numPr>
          <w:ilvl w:val="0"/>
          <w:numId w:val="0"/>
        </w:numPr>
        <w:rPr>
          <w:rFonts w:eastAsia="Calibri"/>
          <w:lang w:eastAsia="en-GB"/>
        </w:rPr>
      </w:pPr>
    </w:p>
    <w:p w14:paraId="3613E024" w14:textId="4FE3F399" w:rsidR="00D53038" w:rsidRDefault="00D72A35" w:rsidP="006C1E0B">
      <w:pPr>
        <w:pStyle w:val="ListNumber"/>
        <w:numPr>
          <w:ilvl w:val="0"/>
          <w:numId w:val="0"/>
        </w:numPr>
      </w:pPr>
      <w:r w:rsidRPr="000A4071">
        <w:lastRenderedPageBreak/>
        <w:t>In recent years, there has been a consistent increase in the number of children with SEN being educated outside mainstream schools: between 2019 and 2020, the number of pupils in state-funded special schools increased by 5.3</w:t>
      </w:r>
      <w:r w:rsidR="005B053D">
        <w:t>%</w:t>
      </w:r>
      <w:r w:rsidRPr="000A4071">
        <w:t>, continuing an upward trend since 2006.</w:t>
      </w:r>
      <w:r w:rsidRPr="000A4071">
        <w:rPr>
          <w:rStyle w:val="FootnoteReference"/>
          <w:rFonts w:ascii="Arial" w:hAnsi="Arial" w:cs="Arial"/>
          <w:szCs w:val="24"/>
        </w:rPr>
        <w:footnoteReference w:id="95"/>
      </w:r>
      <w:r w:rsidRPr="000A4071">
        <w:t xml:space="preserve"> Recent announcements by the UK Government to create more special school places</w:t>
      </w:r>
      <w:r>
        <w:rPr>
          <w:rStyle w:val="FootnoteReference"/>
          <w:rFonts w:ascii="Arial" w:hAnsi="Arial" w:cs="Arial"/>
          <w:szCs w:val="24"/>
        </w:rPr>
        <w:footnoteReference w:id="96"/>
      </w:r>
      <w:r w:rsidRPr="000A4071">
        <w:t xml:space="preserve"> will do </w:t>
      </w:r>
      <w:r>
        <w:t>nothing</w:t>
      </w:r>
      <w:r w:rsidRPr="000A4071">
        <w:t xml:space="preserve"> to reverse this.</w:t>
      </w:r>
      <w:r w:rsidRPr="000A4071">
        <w:rPr>
          <w:rStyle w:val="FootnoteReference"/>
          <w:rFonts w:ascii="Arial" w:hAnsi="Arial" w:cs="Arial"/>
          <w:szCs w:val="24"/>
        </w:rPr>
        <w:footnoteReference w:id="97"/>
      </w:r>
      <w:r w:rsidRPr="000A4071">
        <w:t xml:space="preserve"> Evidence also suggests that </w:t>
      </w:r>
      <w:r w:rsidRPr="0007113D">
        <w:rPr>
          <w:color w:val="0B0C0C"/>
          <w:shd w:val="clear" w:color="auto" w:fill="FFFFFF"/>
        </w:rPr>
        <w:t xml:space="preserve">special educational needs </w:t>
      </w:r>
      <w:r>
        <w:rPr>
          <w:color w:val="0B0C0C"/>
          <w:shd w:val="clear" w:color="auto" w:fill="FFFFFF"/>
        </w:rPr>
        <w:t>are often the</w:t>
      </w:r>
      <w:r w:rsidRPr="00E142C3">
        <w:rPr>
          <w:color w:val="0B0C0C"/>
          <w:shd w:val="clear" w:color="auto" w:fill="FFFFFF"/>
        </w:rPr>
        <w:t xml:space="preserve"> reason</w:t>
      </w:r>
      <w:r w:rsidRPr="0007113D">
        <w:rPr>
          <w:color w:val="0B0C0C"/>
          <w:shd w:val="clear" w:color="auto" w:fill="FFFFFF"/>
        </w:rPr>
        <w:t xml:space="preserve"> for moves to home education</w:t>
      </w:r>
      <w:r>
        <w:rPr>
          <w:color w:val="0B0C0C"/>
          <w:shd w:val="clear" w:color="auto" w:fill="FFFFFF"/>
        </w:rPr>
        <w:t>.</w:t>
      </w:r>
      <w:r w:rsidRPr="000A4071">
        <w:rPr>
          <w:rStyle w:val="FootnoteReference"/>
          <w:rFonts w:ascii="Arial" w:hAnsi="Arial" w:cs="Arial"/>
          <w:szCs w:val="24"/>
        </w:rPr>
        <w:footnoteReference w:id="98"/>
      </w:r>
      <w:r w:rsidRPr="000A4071">
        <w:t xml:space="preserve"> We are concerned that this trend is inconsistent with the right of disabled children to access inclusive, </w:t>
      </w:r>
      <w:r>
        <w:t xml:space="preserve">good </w:t>
      </w:r>
      <w:r w:rsidRPr="000A4071">
        <w:t>quality education.</w:t>
      </w:r>
      <w:r w:rsidRPr="000A4071">
        <w:rPr>
          <w:rStyle w:val="FootnoteReference"/>
          <w:rFonts w:ascii="Arial" w:hAnsi="Arial" w:cs="Arial"/>
          <w:szCs w:val="24"/>
        </w:rPr>
        <w:footnoteReference w:id="99"/>
      </w:r>
      <w:r w:rsidRPr="000A4071">
        <w:t xml:space="preserve">  </w:t>
      </w:r>
    </w:p>
    <w:p w14:paraId="6C50638A" w14:textId="57B1E9E3" w:rsidR="00E459A3" w:rsidRDefault="008C63DA" w:rsidP="006C1E0B">
      <w:pPr>
        <w:pStyle w:val="ListNumber"/>
        <w:numPr>
          <w:ilvl w:val="0"/>
          <w:numId w:val="0"/>
        </w:numPr>
      </w:pPr>
      <w:r w:rsidRPr="008C63DA">
        <w:lastRenderedPageBreak/>
        <w:t xml:space="preserve">The UK currently has two ‘reservations’ </w:t>
      </w:r>
      <w:r w:rsidR="0093482D">
        <w:t>or interpretive declarations against the right to an inclusive education (</w:t>
      </w:r>
      <w:r w:rsidRPr="008C63DA">
        <w:t>Article 24</w:t>
      </w:r>
      <w:r w:rsidR="007349F6">
        <w:t xml:space="preserve"> of the CRPD).</w:t>
      </w:r>
      <w:r w:rsidR="007349F6" w:rsidRPr="000A4071">
        <w:rPr>
          <w:rStyle w:val="FootnoteReference"/>
          <w:rFonts w:ascii="Arial" w:hAnsi="Arial" w:cs="Arial"/>
          <w:szCs w:val="24"/>
        </w:rPr>
        <w:footnoteReference w:id="100"/>
      </w:r>
      <w:r w:rsidR="007349F6" w:rsidRPr="000A4071">
        <w:t xml:space="preserve"> </w:t>
      </w:r>
      <w:r w:rsidR="0093482D">
        <w:t xml:space="preserve">The reservations alter or restrict the UK’s obligations </w:t>
      </w:r>
      <w:r w:rsidR="007349F6">
        <w:t xml:space="preserve">by qualifying what it has agreed to. </w:t>
      </w:r>
      <w:r w:rsidRPr="008C63DA">
        <w:t xml:space="preserve">The first reservation says that the UK defines a ‘general education system’ to include both mainstream and special schools. The second says that the UK reserves the right to send disabled children to special schools outside their local community. </w:t>
      </w:r>
      <w:r w:rsidR="007349F6">
        <w:t>These reservations are</w:t>
      </w:r>
      <w:r w:rsidR="00E459A3" w:rsidRPr="000A4071">
        <w:t xml:space="preserve"> contrary to the purpose of the C</w:t>
      </w:r>
      <w:r w:rsidR="005B053D">
        <w:t>RPD</w:t>
      </w:r>
      <w:r w:rsidR="00E459A3" w:rsidRPr="000A4071">
        <w:t xml:space="preserve"> as </w:t>
      </w:r>
      <w:r w:rsidR="007349F6">
        <w:t>they</w:t>
      </w:r>
      <w:r w:rsidR="007349F6" w:rsidRPr="000A4071">
        <w:t xml:space="preserve"> </w:t>
      </w:r>
      <w:r w:rsidR="00E459A3" w:rsidRPr="000A4071">
        <w:t>reinforce the segregation of disabled children in education</w:t>
      </w:r>
      <w:r w:rsidR="00CE3903">
        <w:t>, and the</w:t>
      </w:r>
      <w:r w:rsidR="00CE3903" w:rsidRPr="00CE3903">
        <w:t xml:space="preserve"> </w:t>
      </w:r>
      <w:r w:rsidR="001D6B1D">
        <w:t xml:space="preserve">UN </w:t>
      </w:r>
      <w:r w:rsidR="00CE3903" w:rsidRPr="00CE3903">
        <w:t xml:space="preserve">Committee </w:t>
      </w:r>
      <w:r w:rsidR="00CE3903">
        <w:t xml:space="preserve">on the Rights of Persons with Disabilities </w:t>
      </w:r>
      <w:r w:rsidR="00CE3903" w:rsidRPr="00CE3903">
        <w:t>has stated that inclusive education must be understood as full inclusion of disabled children in mainstream schools.</w:t>
      </w:r>
      <w:r w:rsidR="00E459A3" w:rsidRPr="000A4071">
        <w:rPr>
          <w:rStyle w:val="FootnoteReference"/>
          <w:rFonts w:ascii="Arial" w:hAnsi="Arial" w:cs="Arial"/>
          <w:szCs w:val="24"/>
        </w:rPr>
        <w:footnoteReference w:id="101"/>
      </w:r>
      <w:r w:rsidR="00E459A3" w:rsidRPr="000A4071">
        <w:t xml:space="preserve"> A fully inclusive education system, in which disabled children and non-disabled children are educated together, can play a valuable role in breaking down stereotypes, prejudice and harmful practices towards disabled people.</w:t>
      </w:r>
      <w:r w:rsidR="00CE3903">
        <w:t xml:space="preserve"> The need to </w:t>
      </w:r>
      <w:r w:rsidR="001D1B1C">
        <w:t xml:space="preserve">combat such attitudes and behaviours, and </w:t>
      </w:r>
      <w:r w:rsidR="00CE3903">
        <w:t>promote awareness of disabled people’s capabilities</w:t>
      </w:r>
      <w:r w:rsidR="001D1B1C">
        <w:t>, is covered by C</w:t>
      </w:r>
      <w:r w:rsidR="00CE3903">
        <w:t>RPD Article 8</w:t>
      </w:r>
      <w:r w:rsidR="001D1B1C">
        <w:t>.</w:t>
      </w:r>
      <w:r w:rsidR="00E459A3" w:rsidRPr="000A4071">
        <w:rPr>
          <w:rStyle w:val="FootnoteReference"/>
          <w:rFonts w:ascii="Arial" w:hAnsi="Arial" w:cs="Arial"/>
          <w:szCs w:val="24"/>
        </w:rPr>
        <w:footnoteReference w:id="102"/>
      </w:r>
    </w:p>
    <w:p w14:paraId="3740174E" w14:textId="474C616D" w:rsidR="00E459A3" w:rsidRDefault="00E459A3" w:rsidP="006C1E0B">
      <w:pPr>
        <w:pStyle w:val="ListNumber"/>
        <w:numPr>
          <w:ilvl w:val="0"/>
          <w:numId w:val="0"/>
        </w:numPr>
      </w:pPr>
      <w:r w:rsidRPr="000A4071">
        <w:lastRenderedPageBreak/>
        <w:t>The challenges affecting SEN</w:t>
      </w:r>
      <w:r w:rsidR="00593390">
        <w:t>D</w:t>
      </w:r>
      <w:r w:rsidRPr="000A4071">
        <w:t xml:space="preserve"> provision in schools have been exacerbated by the coronavirus pandemic.</w:t>
      </w:r>
      <w:r w:rsidRPr="000A4071">
        <w:rPr>
          <w:rStyle w:val="FootnoteReference"/>
          <w:rFonts w:ascii="Arial" w:hAnsi="Arial" w:cs="Arial"/>
          <w:szCs w:val="24"/>
        </w:rPr>
        <w:footnoteReference w:id="103"/>
      </w:r>
      <w:r w:rsidRPr="000A4071">
        <w:t xml:space="preserve"> Staff shortages, social distancing rules and the need to concentrate resources on the health emergency </w:t>
      </w:r>
      <w:r w:rsidR="00772AFC">
        <w:t xml:space="preserve">have </w:t>
      </w:r>
      <w:r w:rsidRPr="000A4071">
        <w:t>led local authorities to reduce SEND provision, in some cases ceasing it altogether.</w:t>
      </w:r>
      <w:r w:rsidRPr="000A4071">
        <w:rPr>
          <w:rStyle w:val="FootnoteReference"/>
          <w:rFonts w:ascii="Arial" w:hAnsi="Arial" w:cs="Arial"/>
          <w:szCs w:val="24"/>
        </w:rPr>
        <w:footnoteReference w:id="104"/>
      </w:r>
      <w:r w:rsidR="00860450">
        <w:t xml:space="preserve"> </w:t>
      </w:r>
    </w:p>
    <w:p w14:paraId="2C33C5F9" w14:textId="77777777" w:rsidR="003731CD" w:rsidRPr="000A4071" w:rsidRDefault="003731CD" w:rsidP="006C1E0B">
      <w:pPr>
        <w:pStyle w:val="ListNumber"/>
        <w:numPr>
          <w:ilvl w:val="0"/>
          <w:numId w:val="0"/>
        </w:numPr>
        <w:ind w:left="567"/>
      </w:pPr>
    </w:p>
    <w:p w14:paraId="684F327A" w14:textId="10A39725" w:rsidR="00D72A35" w:rsidRDefault="00E459A3" w:rsidP="006C1E0B">
      <w:pPr>
        <w:pStyle w:val="ListNumber"/>
        <w:numPr>
          <w:ilvl w:val="0"/>
          <w:numId w:val="0"/>
        </w:numPr>
        <w:rPr>
          <w:lang w:val="en"/>
        </w:rPr>
      </w:pPr>
      <w:r w:rsidRPr="000A4071">
        <w:t>The Coronavirus Act (2020) a</w:t>
      </w:r>
      <w:r>
        <w:t>mended</w:t>
      </w:r>
      <w:r w:rsidRPr="000A4071">
        <w:t xml:space="preserve"> </w:t>
      </w:r>
      <w:r w:rsidRPr="000A4071">
        <w:rPr>
          <w:lang w:val="en"/>
        </w:rPr>
        <w:t xml:space="preserve">Section 42 of the Children and Families Act 2014 </w:t>
      </w:r>
      <w:r w:rsidRPr="000A4071">
        <w:t xml:space="preserve">to provide </w:t>
      </w:r>
      <w:r w:rsidR="00772AFC">
        <w:t>m</w:t>
      </w:r>
      <w:r w:rsidRPr="000A4071">
        <w:t xml:space="preserve">inisters with the power to temporarily modify the legal obligation on local authorities and health commissioning bodies to provide the support listed in a child’s </w:t>
      </w:r>
      <w:r w:rsidRPr="000A4071">
        <w:rPr>
          <w:bCs/>
        </w:rPr>
        <w:t>EHC</w:t>
      </w:r>
      <w:r w:rsidR="00772AFC">
        <w:rPr>
          <w:bCs/>
        </w:rPr>
        <w:t xml:space="preserve"> plan</w:t>
      </w:r>
      <w:r w:rsidRPr="000A4071">
        <w:t>.</w:t>
      </w:r>
      <w:r w:rsidR="00D846FA">
        <w:t xml:space="preserve"> </w:t>
      </w:r>
      <w:r w:rsidR="00D846FA" w:rsidRPr="00D846FA">
        <w:t>Following this decision, local authorities and health bodies in England were only required to make ‘reasonable endeavours’ to discharge their duties.</w:t>
      </w:r>
      <w:r w:rsidRPr="000A4071">
        <w:rPr>
          <w:bCs/>
          <w:vertAlign w:val="superscript"/>
        </w:rPr>
        <w:footnoteReference w:id="105"/>
      </w:r>
      <w:r w:rsidRPr="000A4071">
        <w:t xml:space="preserve"> New regulations also relaxed timescales for conducting EHC assessments and issuing EHC</w:t>
      </w:r>
      <w:r w:rsidR="00772AFC">
        <w:t xml:space="preserve"> plan</w:t>
      </w:r>
      <w:r w:rsidRPr="000A4071">
        <w:t>s, stipulating that local authorities and other bodies must do so ‘as soon as reasonably practicable’.</w:t>
      </w:r>
      <w:r w:rsidR="00EA6AB0">
        <w:t xml:space="preserve"> </w:t>
      </w:r>
      <w:r w:rsidR="00EA6AB0" w:rsidRPr="00EA6AB0">
        <w:rPr>
          <w:lang w:val="en"/>
        </w:rPr>
        <w:t>These temporary changes have now ceased.</w:t>
      </w:r>
      <w:r w:rsidRPr="000A4071">
        <w:rPr>
          <w:rStyle w:val="FootnoteReference"/>
          <w:rFonts w:ascii="Arial" w:hAnsi="Arial" w:cs="Arial"/>
          <w:szCs w:val="24"/>
          <w:lang w:val="en"/>
        </w:rPr>
        <w:footnoteReference w:id="106"/>
      </w:r>
    </w:p>
    <w:p w14:paraId="64BC38F1" w14:textId="21C32EFC" w:rsidR="00E459A3" w:rsidRDefault="00E459A3" w:rsidP="006C1E0B">
      <w:pPr>
        <w:pStyle w:val="ListNumber"/>
        <w:numPr>
          <w:ilvl w:val="0"/>
          <w:numId w:val="0"/>
        </w:numPr>
      </w:pPr>
      <w:r w:rsidRPr="000A4071">
        <w:lastRenderedPageBreak/>
        <w:t xml:space="preserve">While changes were in force, stakeholders </w:t>
      </w:r>
      <w:r>
        <w:t>raised concerns</w:t>
      </w:r>
      <w:r w:rsidRPr="000A4071">
        <w:t xml:space="preserve"> that some local areas used the change in the law to effectively cease SEND provision altogether</w:t>
      </w:r>
      <w:r w:rsidR="00131E5D">
        <w:t>.</w:t>
      </w:r>
      <w:r w:rsidRPr="000A4071">
        <w:rPr>
          <w:vertAlign w:val="superscript"/>
        </w:rPr>
        <w:footnoteReference w:id="107"/>
      </w:r>
      <w:r w:rsidRPr="000A4071">
        <w:t xml:space="preserve"> </w:t>
      </w:r>
      <w:r w:rsidR="00B5037F" w:rsidRPr="00B5037F">
        <w:t>Stakeholders also reported inconsistencies in the way in which local authorities interpreted the ‘reasonable endeavours’ duty.</w:t>
      </w:r>
      <w:r w:rsidRPr="000A4071">
        <w:rPr>
          <w:rStyle w:val="FootnoteReference"/>
          <w:rFonts w:ascii="Arial" w:hAnsi="Arial" w:cs="Arial"/>
          <w:bCs/>
          <w:szCs w:val="24"/>
        </w:rPr>
        <w:footnoteReference w:id="108"/>
      </w:r>
      <w:r w:rsidRPr="000A4071">
        <w:t xml:space="preserve"> This risked compounding the already difficult situation faced by many families who looked after children with SEND at home during the periods of school closures</w:t>
      </w:r>
      <w:r w:rsidR="00244A93">
        <w:t>, including for those who did not receive adequate support with</w:t>
      </w:r>
      <w:r w:rsidR="00866F69">
        <w:t xml:space="preserve"> </w:t>
      </w:r>
      <w:r w:rsidR="00866F69" w:rsidRPr="00866F69">
        <w:t>specialist equipment, additional tutoring, accessible learning resources and social care.</w:t>
      </w:r>
      <w:r w:rsidRPr="000A4071">
        <w:rPr>
          <w:rStyle w:val="FootnoteReference"/>
          <w:rFonts w:ascii="Arial" w:hAnsi="Arial" w:cs="Arial"/>
          <w:bCs/>
          <w:szCs w:val="24"/>
        </w:rPr>
        <w:footnoteReference w:id="109"/>
      </w:r>
      <w:r w:rsidRPr="000A4071">
        <w:t xml:space="preserve"> </w:t>
      </w:r>
    </w:p>
    <w:p w14:paraId="0335FDEA" w14:textId="77777777" w:rsidR="00D53038" w:rsidRDefault="00D53038" w:rsidP="006C1E0B">
      <w:pPr>
        <w:pStyle w:val="ListNumber"/>
        <w:numPr>
          <w:ilvl w:val="0"/>
          <w:numId w:val="0"/>
        </w:numPr>
        <w:ind w:left="567" w:hanging="567"/>
        <w:rPr>
          <w:shd w:val="clear" w:color="auto" w:fill="FFFFFF"/>
        </w:rPr>
      </w:pPr>
    </w:p>
    <w:p w14:paraId="45703A1D" w14:textId="6969F805" w:rsidR="00E459A3" w:rsidRDefault="00E459A3" w:rsidP="006C1E0B">
      <w:pPr>
        <w:pStyle w:val="ListNumber"/>
        <w:numPr>
          <w:ilvl w:val="0"/>
          <w:numId w:val="0"/>
        </w:numPr>
        <w:rPr>
          <w:shd w:val="clear" w:color="auto" w:fill="FFFFFF"/>
        </w:rPr>
      </w:pPr>
      <w:r w:rsidRPr="000A4071">
        <w:rPr>
          <w:shd w:val="clear" w:color="auto" w:fill="FFFFFF"/>
        </w:rPr>
        <w:lastRenderedPageBreak/>
        <w:t>Although the temporary changes to EHC</w:t>
      </w:r>
      <w:r w:rsidR="007545BD">
        <w:rPr>
          <w:shd w:val="clear" w:color="auto" w:fill="FFFFFF"/>
        </w:rPr>
        <w:t xml:space="preserve"> plan</w:t>
      </w:r>
      <w:r w:rsidRPr="000A4071">
        <w:rPr>
          <w:shd w:val="clear" w:color="auto" w:fill="FFFFFF"/>
        </w:rPr>
        <w:t>s have now ceased, challenges remain for local authorities in dealing with the backlog of assessments and support provision.</w:t>
      </w:r>
      <w:r w:rsidRPr="000A4071">
        <w:rPr>
          <w:rStyle w:val="FootnoteReference"/>
          <w:rFonts w:ascii="Arial" w:hAnsi="Arial" w:cs="Arial"/>
          <w:szCs w:val="24"/>
          <w:shd w:val="clear" w:color="auto" w:fill="FFFFFF"/>
        </w:rPr>
        <w:footnoteReference w:id="110"/>
      </w:r>
      <w:r w:rsidRPr="000A4071">
        <w:rPr>
          <w:shd w:val="clear" w:color="auto" w:fill="FFFFFF"/>
        </w:rPr>
        <w:t xml:space="preserve"> There is also the possibility that EHC</w:t>
      </w:r>
      <w:r w:rsidR="007545BD">
        <w:rPr>
          <w:shd w:val="clear" w:color="auto" w:fill="FFFFFF"/>
        </w:rPr>
        <w:t xml:space="preserve"> plan</w:t>
      </w:r>
      <w:r w:rsidRPr="000A4071">
        <w:rPr>
          <w:shd w:val="clear" w:color="auto" w:fill="FFFFFF"/>
        </w:rPr>
        <w:t xml:space="preserve"> modifications could be reintroduced </w:t>
      </w:r>
      <w:r>
        <w:rPr>
          <w:shd w:val="clear" w:color="auto" w:fill="FFFFFF"/>
        </w:rPr>
        <w:t>if</w:t>
      </w:r>
      <w:r w:rsidRPr="000A4071">
        <w:rPr>
          <w:shd w:val="clear" w:color="auto" w:fill="FFFFFF"/>
        </w:rPr>
        <w:t xml:space="preserve"> the pandemic </w:t>
      </w:r>
      <w:r>
        <w:rPr>
          <w:shd w:val="clear" w:color="auto" w:fill="FFFFFF"/>
        </w:rPr>
        <w:t>were to worsen again</w:t>
      </w:r>
      <w:r w:rsidRPr="000A4071">
        <w:rPr>
          <w:shd w:val="clear" w:color="auto" w:fill="FFFFFF"/>
        </w:rPr>
        <w:t>. Ongoing reductions in support create a real risk that increased numbers of disabled children could reach crisis point and be admitted to inpatient units or held in restrictive settings, in breach of the right to live independently in the community.</w:t>
      </w:r>
      <w:r w:rsidR="00F5193D">
        <w:rPr>
          <w:shd w:val="clear" w:color="auto" w:fill="FFFFFF"/>
        </w:rPr>
        <w:t xml:space="preserve"> </w:t>
      </w:r>
      <w:r w:rsidR="00F5193D" w:rsidRPr="00F5193D">
        <w:rPr>
          <w:shd w:val="clear" w:color="auto" w:fill="FFFFFF"/>
        </w:rPr>
        <w:t>Children in these settings are no longer receiving support normally provided in schools or community services</w:t>
      </w:r>
      <w:r w:rsidR="00F5193D">
        <w:rPr>
          <w:shd w:val="clear" w:color="auto" w:fill="FFFFFF"/>
        </w:rPr>
        <w:t>.</w:t>
      </w:r>
      <w:r w:rsidRPr="000A4071">
        <w:rPr>
          <w:rStyle w:val="FootnoteReference"/>
          <w:rFonts w:ascii="Arial" w:hAnsi="Arial" w:cs="Arial"/>
          <w:szCs w:val="24"/>
          <w:shd w:val="clear" w:color="auto" w:fill="FFFFFF"/>
        </w:rPr>
        <w:footnoteReference w:id="111"/>
      </w:r>
    </w:p>
    <w:p w14:paraId="0330AEEA" w14:textId="0455B555" w:rsidR="00E459A3" w:rsidRDefault="00904F07" w:rsidP="00904F07">
      <w:pPr>
        <w:pStyle w:val="Heading2"/>
        <w:rPr>
          <w:shd w:val="clear" w:color="auto" w:fill="FFFFFF"/>
        </w:rPr>
      </w:pPr>
      <w:bookmarkStart w:id="55" w:name="_Toc71213927"/>
      <w:r>
        <w:rPr>
          <w:shd w:val="clear" w:color="auto" w:fill="FFFFFF"/>
        </w:rPr>
        <w:t>Equal access to employment</w:t>
      </w:r>
      <w:bookmarkEnd w:id="55"/>
    </w:p>
    <w:p w14:paraId="1488464A" w14:textId="77777777" w:rsidR="00D53038" w:rsidRDefault="00D53038" w:rsidP="006C1E0B">
      <w:pPr>
        <w:pStyle w:val="ListNumber"/>
        <w:numPr>
          <w:ilvl w:val="0"/>
          <w:numId w:val="0"/>
        </w:numPr>
        <w:ind w:left="567"/>
        <w:rPr>
          <w:shd w:val="clear" w:color="auto" w:fill="FFFFFF"/>
        </w:rPr>
      </w:pPr>
    </w:p>
    <w:p w14:paraId="4B1A6446" w14:textId="3C519E4D" w:rsidR="00612338" w:rsidRDefault="00904F07" w:rsidP="006C1E0B">
      <w:pPr>
        <w:pStyle w:val="ListNumber"/>
        <w:numPr>
          <w:ilvl w:val="0"/>
          <w:numId w:val="0"/>
        </w:numPr>
        <w:rPr>
          <w:shd w:val="clear" w:color="auto" w:fill="FFFFFF"/>
        </w:rPr>
      </w:pPr>
      <w:r w:rsidRPr="00904F07">
        <w:rPr>
          <w:shd w:val="clear" w:color="auto" w:fill="FFFFFF"/>
        </w:rPr>
        <w:t>Disabled people’s right to work</w:t>
      </w:r>
      <w:r w:rsidR="00F5193D">
        <w:rPr>
          <w:shd w:val="clear" w:color="auto" w:fill="FFFFFF"/>
        </w:rPr>
        <w:t xml:space="preserve"> (under CRPD Article 27 and </w:t>
      </w:r>
      <w:r w:rsidR="001A59EC" w:rsidRPr="001A59EC">
        <w:rPr>
          <w:shd w:val="clear" w:color="auto" w:fill="FFFFFF"/>
        </w:rPr>
        <w:t>International Covenant on Economic, Social and Cultural Rights Articles 6 and 7</w:t>
      </w:r>
      <w:r w:rsidR="001A59EC">
        <w:rPr>
          <w:shd w:val="clear" w:color="auto" w:fill="FFFFFF"/>
        </w:rPr>
        <w:t>)</w:t>
      </w:r>
      <w:r w:rsidRPr="00904F07">
        <w:rPr>
          <w:shd w:val="clear" w:color="auto" w:fill="FFFFFF"/>
        </w:rPr>
        <w:t xml:space="preserve"> is closely linked to their enjoyment of the right to independent living as part of the community. Employment can support disabled people’s equal social and economic inclusion </w:t>
      </w:r>
      <w:r>
        <w:rPr>
          <w:shd w:val="clear" w:color="auto" w:fill="FFFFFF"/>
        </w:rPr>
        <w:t xml:space="preserve">and, as for many people, be an important source of personal fulfilment. </w:t>
      </w:r>
    </w:p>
    <w:p w14:paraId="56AFA3C3" w14:textId="77777777" w:rsidR="003731CD" w:rsidRDefault="003731CD" w:rsidP="006C1E0B">
      <w:pPr>
        <w:pStyle w:val="ListNumber"/>
        <w:numPr>
          <w:ilvl w:val="0"/>
          <w:numId w:val="0"/>
        </w:numPr>
        <w:ind w:left="567"/>
        <w:rPr>
          <w:shd w:val="clear" w:color="auto" w:fill="FFFFFF"/>
        </w:rPr>
      </w:pPr>
    </w:p>
    <w:p w14:paraId="6F5AFE4F" w14:textId="5C620AAF" w:rsidR="00612338" w:rsidRPr="000A4071" w:rsidRDefault="00612338" w:rsidP="006C1E0B">
      <w:pPr>
        <w:pStyle w:val="ListNumber"/>
        <w:numPr>
          <w:ilvl w:val="0"/>
          <w:numId w:val="0"/>
        </w:numPr>
      </w:pPr>
      <w:r w:rsidRPr="000A4071">
        <w:lastRenderedPageBreak/>
        <w:t>In 2017, the UK Government published</w:t>
      </w:r>
      <w:r w:rsidR="001A59EC">
        <w:t xml:space="preserve"> </w:t>
      </w:r>
      <w:r w:rsidR="001A59EC" w:rsidRPr="000A4071">
        <w:t>a strategy to increase employment rates and improve support for disabled people to gain and remain in employment, with a target of getting one million more disabled people into work by 2027.</w:t>
      </w:r>
      <w:r w:rsidRPr="000A4071">
        <w:rPr>
          <w:rStyle w:val="FootnoteReference"/>
          <w:rFonts w:ascii="Arial" w:hAnsi="Arial" w:cs="Arial"/>
          <w:szCs w:val="24"/>
        </w:rPr>
        <w:footnoteReference w:id="112"/>
      </w:r>
      <w:r w:rsidRPr="000A4071">
        <w:t xml:space="preserve"> Between 2017 and 2019, the number of disabled people in employment increased by 404,000.</w:t>
      </w:r>
      <w:r w:rsidRPr="000A4071">
        <w:rPr>
          <w:rStyle w:val="FootnoteReference"/>
          <w:rFonts w:ascii="Arial" w:hAnsi="Arial" w:cs="Arial"/>
          <w:szCs w:val="24"/>
        </w:rPr>
        <w:footnoteReference w:id="113"/>
      </w:r>
    </w:p>
    <w:p w14:paraId="75B4B0AF" w14:textId="77777777" w:rsidR="00D53038" w:rsidRDefault="00D53038" w:rsidP="006C1E0B">
      <w:pPr>
        <w:pStyle w:val="ListNumber"/>
        <w:numPr>
          <w:ilvl w:val="0"/>
          <w:numId w:val="0"/>
        </w:numPr>
        <w:ind w:left="567" w:hanging="567"/>
      </w:pPr>
    </w:p>
    <w:p w14:paraId="652DBD4D" w14:textId="3D7FDABA" w:rsidR="00612338" w:rsidRDefault="00612338" w:rsidP="006C1E0B">
      <w:pPr>
        <w:pStyle w:val="ListNumber"/>
        <w:numPr>
          <w:ilvl w:val="0"/>
          <w:numId w:val="0"/>
        </w:numPr>
      </w:pPr>
      <w:r w:rsidRPr="000A4071">
        <w:t>However, despite this progress, disabled people of working age remain at a distinct disadvantage in the UK labour market. Between April and June 2020, only 53</w:t>
      </w:r>
      <w:r w:rsidR="00BD16FF">
        <w:t>%</w:t>
      </w:r>
      <w:r w:rsidRPr="000A4071">
        <w:t xml:space="preserve"> of disabled people were in employment compared with 81.7</w:t>
      </w:r>
      <w:r w:rsidR="00BD16FF">
        <w:t>%</w:t>
      </w:r>
      <w:r w:rsidRPr="000A4071">
        <w:t xml:space="preserve"> of non-disabled people</w:t>
      </w:r>
      <w:r w:rsidRPr="000A4071">
        <w:rPr>
          <w:rStyle w:val="FootnoteReference"/>
          <w:rFonts w:ascii="Arial" w:hAnsi="Arial" w:cs="Arial"/>
          <w:szCs w:val="24"/>
        </w:rPr>
        <w:footnoteReference w:id="114"/>
      </w:r>
      <w:r w:rsidRPr="000A4071">
        <w:t>. Disabled people are also more likely to work part-time, to do lower</w:t>
      </w:r>
      <w:r w:rsidR="00BD16FF">
        <w:t xml:space="preserve"> </w:t>
      </w:r>
      <w:r w:rsidRPr="000A4071">
        <w:t>skilled jobs, and to earn less than non-disabled people on average.</w:t>
      </w:r>
      <w:r w:rsidRPr="000A4071">
        <w:rPr>
          <w:rStyle w:val="FootnoteReference"/>
          <w:rFonts w:ascii="Arial" w:hAnsi="Arial" w:cs="Arial"/>
          <w:szCs w:val="24"/>
        </w:rPr>
        <w:footnoteReference w:id="115"/>
      </w:r>
      <w:r w:rsidRPr="000A4071">
        <w:t xml:space="preserve"> These are key factors that contribute to the disability employment and pay gaps. </w:t>
      </w:r>
    </w:p>
    <w:p w14:paraId="29636C43" w14:textId="3D51CFFB" w:rsidR="00612338" w:rsidRPr="000A4071" w:rsidRDefault="00612338" w:rsidP="006C1E0B">
      <w:pPr>
        <w:pStyle w:val="ListNumber"/>
        <w:numPr>
          <w:ilvl w:val="0"/>
          <w:numId w:val="0"/>
        </w:numPr>
      </w:pPr>
      <w:r w:rsidRPr="000A4071">
        <w:lastRenderedPageBreak/>
        <w:t>The coronavirus pandemic risks further exacerbating the disability employment and pay gaps. Disabled people are at particular risk of unemployment, under</w:t>
      </w:r>
      <w:r>
        <w:t>-</w:t>
      </w:r>
      <w:r w:rsidRPr="000A4071">
        <w:t>employment and redundancy as a result of the pandemic.</w:t>
      </w:r>
      <w:r w:rsidR="00B82620">
        <w:t xml:space="preserve"> Citizens Advice has reported that one </w:t>
      </w:r>
      <w:r w:rsidR="00B82620" w:rsidRPr="00B82620">
        <w:t xml:space="preserve">in </w:t>
      </w:r>
      <w:r w:rsidR="00B82620">
        <w:t>four</w:t>
      </w:r>
      <w:r w:rsidR="00B82620" w:rsidRPr="00B82620">
        <w:t xml:space="preserve"> disabled people</w:t>
      </w:r>
      <w:r w:rsidR="00B82620">
        <w:t xml:space="preserve"> face redundancy</w:t>
      </w:r>
      <w:r w:rsidR="00B82620" w:rsidRPr="00B82620">
        <w:t xml:space="preserve">, compared </w:t>
      </w:r>
      <w:r w:rsidR="00B82620">
        <w:t>with</w:t>
      </w:r>
      <w:r w:rsidR="00B82620" w:rsidRPr="00B82620">
        <w:t xml:space="preserve"> </w:t>
      </w:r>
      <w:r w:rsidR="00B82620">
        <w:t>one</w:t>
      </w:r>
      <w:r w:rsidR="00B82620" w:rsidRPr="00B82620">
        <w:t xml:space="preserve"> in </w:t>
      </w:r>
      <w:r w:rsidR="00B82620">
        <w:t>six</w:t>
      </w:r>
      <w:r w:rsidR="00B82620" w:rsidRPr="00B82620">
        <w:t xml:space="preserve"> of the working population</w:t>
      </w:r>
      <w:r w:rsidR="00B82620">
        <w:t xml:space="preserve"> as a whole</w:t>
      </w:r>
      <w:r w:rsidR="00B82620" w:rsidRPr="00B82620">
        <w:t>.</w:t>
      </w:r>
      <w:r w:rsidRPr="000A4071">
        <w:rPr>
          <w:rStyle w:val="FootnoteReference"/>
          <w:rFonts w:ascii="Arial" w:hAnsi="Arial" w:cs="Arial"/>
          <w:szCs w:val="24"/>
        </w:rPr>
        <w:footnoteReference w:id="116"/>
      </w:r>
      <w:r w:rsidRPr="000A4071">
        <w:t xml:space="preserve"> A</w:t>
      </w:r>
      <w:r w:rsidR="00BE60A1">
        <w:t xml:space="preserve"> summer 2020</w:t>
      </w:r>
      <w:r w:rsidRPr="000A4071">
        <w:t xml:space="preserve"> survey commissioned by Leonard Cheshire</w:t>
      </w:r>
      <w:r w:rsidR="007565FB">
        <w:t xml:space="preserve"> </w:t>
      </w:r>
      <w:r w:rsidRPr="000A4071">
        <w:t>found that 21</w:t>
      </w:r>
      <w:r w:rsidR="00123CED">
        <w:t>%</w:t>
      </w:r>
      <w:r w:rsidRPr="000A4071">
        <w:t xml:space="preserve"> of disabled people in the UK ha</w:t>
      </w:r>
      <w:r w:rsidR="00123CED">
        <w:t>d</w:t>
      </w:r>
      <w:r w:rsidRPr="000A4071">
        <w:t xml:space="preserve"> worked reduced hours during the pandemic; 20</w:t>
      </w:r>
      <w:r w:rsidR="00123CED">
        <w:t>%</w:t>
      </w:r>
      <w:r w:rsidRPr="000A4071">
        <w:t xml:space="preserve"> ha</w:t>
      </w:r>
      <w:r w:rsidR="00123CED">
        <w:t>d</w:t>
      </w:r>
      <w:r w:rsidRPr="000A4071">
        <w:t xml:space="preserve"> lost out on income; and 40</w:t>
      </w:r>
      <w:r w:rsidR="00123CED">
        <w:t>%</w:t>
      </w:r>
      <w:r w:rsidRPr="000A4071">
        <w:t xml:space="preserve"> fe</w:t>
      </w:r>
      <w:r w:rsidR="00123CED">
        <w:t>lt</w:t>
      </w:r>
      <w:r w:rsidRPr="000A4071">
        <w:t xml:space="preserve"> at greater risk of redundancy due to their employer judging them based on disability.</w:t>
      </w:r>
      <w:r w:rsidRPr="000A4071">
        <w:rPr>
          <w:rStyle w:val="FootnoteReference"/>
          <w:rFonts w:ascii="Arial" w:hAnsi="Arial" w:cs="Arial"/>
          <w:szCs w:val="24"/>
        </w:rPr>
        <w:footnoteReference w:id="117"/>
      </w:r>
      <w:r w:rsidRPr="000A4071">
        <w:t xml:space="preserve"> Throughout the pandemic, disabled employees have reported that their employers have failed to provide reasonable adjustments so that they can work effectively</w:t>
      </w:r>
      <w:r>
        <w:t xml:space="preserve">. </w:t>
      </w:r>
      <w:r w:rsidR="00B82620">
        <w:t>It appears from reports to the Equality Advisory and Su</w:t>
      </w:r>
      <w:r w:rsidR="00995155">
        <w:t>pport Service that i</w:t>
      </w:r>
      <w:r w:rsidRPr="000A4071">
        <w:t>n some cases disabled people have been made redundant</w:t>
      </w:r>
      <w:r>
        <w:t xml:space="preserve">, despite </w:t>
      </w:r>
      <w:r w:rsidR="00123CED">
        <w:t>g</w:t>
      </w:r>
      <w:r>
        <w:t xml:space="preserve">overnment initiatives such as the </w:t>
      </w:r>
      <w:bookmarkStart w:id="57" w:name="_Hlk66605695"/>
      <w:r>
        <w:t>Coronavirus Job Retention Scheme</w:t>
      </w:r>
      <w:bookmarkEnd w:id="57"/>
      <w:r>
        <w:t>,</w:t>
      </w:r>
      <w:r w:rsidRPr="000A4071">
        <w:t xml:space="preserve"> </w:t>
      </w:r>
      <w:r>
        <w:t xml:space="preserve">either because employers believe this is in an employee’s best interest or have struggled </w:t>
      </w:r>
      <w:r w:rsidRPr="000A4071">
        <w:t xml:space="preserve">to meet their obligations to make adjustments under equality or health and safety law. </w:t>
      </w:r>
    </w:p>
    <w:p w14:paraId="571EFAEF" w14:textId="3A3EC0FC" w:rsidR="00612338" w:rsidRPr="00612338" w:rsidRDefault="00612338" w:rsidP="00612338">
      <w:pPr>
        <w:pStyle w:val="Heading2"/>
        <w:rPr>
          <w:shd w:val="clear" w:color="auto" w:fill="FFFFFF"/>
        </w:rPr>
      </w:pPr>
      <w:bookmarkStart w:id="58" w:name="_Toc71213928"/>
      <w:r>
        <w:rPr>
          <w:shd w:val="clear" w:color="auto" w:fill="FFFFFF"/>
        </w:rPr>
        <w:t>Adequate standard of living and social protection</w:t>
      </w:r>
      <w:bookmarkEnd w:id="58"/>
    </w:p>
    <w:p w14:paraId="518BE7B2" w14:textId="77777777" w:rsidR="00D53038" w:rsidRDefault="00D53038" w:rsidP="006C1E0B">
      <w:pPr>
        <w:pStyle w:val="ListNumber"/>
        <w:numPr>
          <w:ilvl w:val="0"/>
          <w:numId w:val="0"/>
        </w:numPr>
        <w:ind w:left="567"/>
      </w:pPr>
    </w:p>
    <w:p w14:paraId="0322DFA9" w14:textId="50B1D6D7" w:rsidR="00452363" w:rsidRDefault="00452363" w:rsidP="006C1E0B">
      <w:pPr>
        <w:pStyle w:val="ListNumber"/>
        <w:numPr>
          <w:ilvl w:val="0"/>
          <w:numId w:val="0"/>
        </w:numPr>
      </w:pPr>
      <w:r w:rsidRPr="00452363">
        <w:t>The realisation of the right to live independently and be included in the community requires an adequate level of income protection, which can be secured through social security and employment.</w:t>
      </w:r>
      <w:r w:rsidRPr="00452363">
        <w:rPr>
          <w:vertAlign w:val="superscript"/>
        </w:rPr>
        <w:footnoteReference w:id="118"/>
      </w:r>
      <w:r w:rsidRPr="00452363">
        <w:t xml:space="preserve"> </w:t>
      </w:r>
    </w:p>
    <w:p w14:paraId="191B034D" w14:textId="195BA2BB" w:rsidR="00D53038" w:rsidRDefault="00D53038" w:rsidP="006C1E0B">
      <w:pPr>
        <w:pStyle w:val="ListNumber"/>
        <w:numPr>
          <w:ilvl w:val="0"/>
          <w:numId w:val="0"/>
        </w:numPr>
      </w:pPr>
    </w:p>
    <w:p w14:paraId="4450806A" w14:textId="2C88F50D" w:rsidR="00452363" w:rsidRDefault="00452363" w:rsidP="006C1E0B">
      <w:pPr>
        <w:pStyle w:val="ListNumber"/>
        <w:numPr>
          <w:ilvl w:val="0"/>
          <w:numId w:val="0"/>
        </w:numPr>
      </w:pPr>
      <w:r w:rsidRPr="000A4071">
        <w:lastRenderedPageBreak/>
        <w:t>Disabled people are more likely to live in poverty and material deprivation than people who are not disabled. Research by the Joseph Rowntree Foundation found that 31</w:t>
      </w:r>
      <w:r w:rsidR="00FA0F26">
        <w:t>%</w:t>
      </w:r>
      <w:r w:rsidRPr="000A4071">
        <w:t xml:space="preserve"> of disabled people in the UK lived in poverty in 2017</w:t>
      </w:r>
      <w:r w:rsidR="00A61AFB">
        <w:t>–</w:t>
      </w:r>
      <w:r w:rsidRPr="000A4071">
        <w:t>8, compared to 20</w:t>
      </w:r>
      <w:r w:rsidR="00FA0F26">
        <w:t>%</w:t>
      </w:r>
      <w:r>
        <w:t xml:space="preserve"> cent</w:t>
      </w:r>
      <w:r w:rsidRPr="000A4071">
        <w:t xml:space="preserve"> of non-disabled people.</w:t>
      </w:r>
      <w:r w:rsidRPr="000A4071">
        <w:rPr>
          <w:rStyle w:val="FootnoteReference"/>
          <w:rFonts w:ascii="Arial" w:hAnsi="Arial" w:cs="Arial"/>
          <w:szCs w:val="24"/>
        </w:rPr>
        <w:footnoteReference w:id="119"/>
      </w:r>
    </w:p>
    <w:p w14:paraId="0620B256" w14:textId="77777777" w:rsidR="003731CD" w:rsidRDefault="003731CD" w:rsidP="006C1E0B">
      <w:pPr>
        <w:pStyle w:val="ListNumber"/>
        <w:numPr>
          <w:ilvl w:val="0"/>
          <w:numId w:val="0"/>
        </w:numPr>
      </w:pPr>
    </w:p>
    <w:p w14:paraId="0055AFB9" w14:textId="22F566B1" w:rsidR="00452363" w:rsidRDefault="00FA0F26" w:rsidP="006C1E0B">
      <w:pPr>
        <w:pStyle w:val="ListNumber"/>
        <w:numPr>
          <w:ilvl w:val="0"/>
          <w:numId w:val="0"/>
        </w:numPr>
      </w:pPr>
      <w:r>
        <w:t xml:space="preserve">Our </w:t>
      </w:r>
      <w:r w:rsidR="00452363" w:rsidRPr="000A4071">
        <w:t>analysis of the tax and welfare reforms introduced between May 2010 and January 2018 revealed that their cumulative impact on disabled people by the 2021/2 tax year will be significantly regressive</w:t>
      </w:r>
      <w:r w:rsidR="00452363">
        <w:t xml:space="preserve">. It is estimated that </w:t>
      </w:r>
      <w:r w:rsidR="00452363" w:rsidRPr="00A145EF">
        <w:t>households with at least one disabled adult and a disabled child will lose over £6,500 a year (over 13</w:t>
      </w:r>
      <w:r>
        <w:t>%</w:t>
      </w:r>
      <w:r w:rsidR="00452363" w:rsidRPr="00A145EF">
        <w:t xml:space="preserve"> of their net income)</w:t>
      </w:r>
      <w:r w:rsidR="00452363">
        <w:t xml:space="preserve"> and disabled lone parents with at least one disabled child will lose almost £10,000 of their annual net income.</w:t>
      </w:r>
      <w:r w:rsidR="00452363" w:rsidRPr="000A4071">
        <w:rPr>
          <w:rStyle w:val="FootnoteReference"/>
          <w:rFonts w:ascii="Arial" w:hAnsi="Arial" w:cs="Arial"/>
          <w:szCs w:val="24"/>
        </w:rPr>
        <w:footnoteReference w:id="120"/>
      </w:r>
      <w:r w:rsidR="00452363" w:rsidRPr="008C35D3">
        <w:t xml:space="preserve"> </w:t>
      </w:r>
      <w:r w:rsidR="00452363" w:rsidRPr="000A4071">
        <w:t xml:space="preserve">Following its 2016 inquiry into the UK, the </w:t>
      </w:r>
      <w:r w:rsidR="001D6B1D">
        <w:t xml:space="preserve">UN </w:t>
      </w:r>
      <w:r w:rsidR="00452363" w:rsidRPr="000A4071">
        <w:t xml:space="preserve">Committee </w:t>
      </w:r>
      <w:r w:rsidR="005047CE">
        <w:t xml:space="preserve">on the Rights of Persons with Disabilities </w:t>
      </w:r>
      <w:r w:rsidR="00452363" w:rsidRPr="000A4071">
        <w:t>reported evidence of grave and systemic violations of the right to independent living and the right to an adequate standard of living and social protection.</w:t>
      </w:r>
      <w:r w:rsidR="00452363" w:rsidRPr="000A4071">
        <w:rPr>
          <w:rStyle w:val="FootnoteReference"/>
          <w:rFonts w:ascii="Arial" w:hAnsi="Arial" w:cs="Arial"/>
          <w:szCs w:val="24"/>
        </w:rPr>
        <w:footnoteReference w:id="121"/>
      </w:r>
      <w:r w:rsidR="00452363" w:rsidRPr="000A4071">
        <w:t xml:space="preserve"> </w:t>
      </w:r>
    </w:p>
    <w:p w14:paraId="76D129FD" w14:textId="77777777" w:rsidR="00D53038" w:rsidRDefault="00D53038" w:rsidP="006C1E0B">
      <w:pPr>
        <w:pStyle w:val="ListNumber"/>
        <w:numPr>
          <w:ilvl w:val="0"/>
          <w:numId w:val="0"/>
        </w:numPr>
        <w:ind w:left="567" w:hanging="567"/>
      </w:pPr>
    </w:p>
    <w:p w14:paraId="407C42A5" w14:textId="04F8022A" w:rsidR="00452363" w:rsidRDefault="00452363" w:rsidP="006C1E0B">
      <w:pPr>
        <w:pStyle w:val="ListNumber"/>
        <w:numPr>
          <w:ilvl w:val="0"/>
          <w:numId w:val="0"/>
        </w:numPr>
      </w:pPr>
      <w:r w:rsidRPr="00A145EF">
        <w:t xml:space="preserve">Evidence suggests that benefit sanctions have had no tangible positive effects in moving disabled people closer to paid work and that the use of sanctions may have exacerbated many disabled people’s existing illnesses and impairments, especially for those </w:t>
      </w:r>
      <w:r w:rsidRPr="008C35D3">
        <w:t>with mental health conditions.</w:t>
      </w:r>
      <w:r>
        <w:rPr>
          <w:rStyle w:val="FootnoteReference"/>
          <w:rFonts w:ascii="Arial" w:hAnsi="Arial" w:cs="Arial"/>
          <w:szCs w:val="24"/>
        </w:rPr>
        <w:footnoteReference w:id="122"/>
      </w:r>
      <w:r w:rsidRPr="00A145EF">
        <w:t xml:space="preserve"> </w:t>
      </w:r>
      <w:r w:rsidR="00FA0F26">
        <w:t>Our</w:t>
      </w:r>
      <w:r w:rsidRPr="00A145EF">
        <w:t xml:space="preserve"> review of recent social security reforms also indicates that sanctions do littl</w:t>
      </w:r>
      <w:r>
        <w:t>e to change claimant motivation,</w:t>
      </w:r>
      <w:r w:rsidR="008C3294">
        <w:t xml:space="preserve"> but</w:t>
      </w:r>
      <w:r w:rsidRPr="00A145EF">
        <w:t xml:space="preserve"> encourage hostility towards support services and worsen relationships with job centre staff.</w:t>
      </w:r>
      <w:r>
        <w:rPr>
          <w:rStyle w:val="FootnoteReference"/>
          <w:rFonts w:ascii="Arial" w:hAnsi="Arial" w:cs="Arial"/>
          <w:szCs w:val="24"/>
        </w:rPr>
        <w:footnoteReference w:id="123"/>
      </w:r>
    </w:p>
    <w:p w14:paraId="6D376F57" w14:textId="77777777" w:rsidR="00D53038" w:rsidRDefault="00D53038" w:rsidP="006C1E0B">
      <w:pPr>
        <w:pStyle w:val="ListNumber"/>
        <w:numPr>
          <w:ilvl w:val="0"/>
          <w:numId w:val="0"/>
        </w:numPr>
      </w:pPr>
    </w:p>
    <w:p w14:paraId="4E07A749" w14:textId="78F1591D" w:rsidR="00452363" w:rsidRPr="008C35D3" w:rsidRDefault="00452363" w:rsidP="006C1E0B">
      <w:pPr>
        <w:pStyle w:val="ListNumber"/>
        <w:numPr>
          <w:ilvl w:val="0"/>
          <w:numId w:val="0"/>
        </w:numPr>
      </w:pPr>
      <w:r w:rsidRPr="008C35D3">
        <w:lastRenderedPageBreak/>
        <w:t>Research shows that disabled people are among the groups most likely to be affected by the expected rise in poverty during and following the coronavirus pandemic.</w:t>
      </w:r>
      <w:r>
        <w:rPr>
          <w:rStyle w:val="FootnoteReference"/>
          <w:rFonts w:ascii="Arial" w:hAnsi="Arial" w:cs="Arial"/>
          <w:szCs w:val="24"/>
        </w:rPr>
        <w:footnoteReference w:id="124"/>
      </w:r>
      <w:r w:rsidRPr="008C35D3">
        <w:t xml:space="preserve"> Disabled people are at a greater risk of experiencing a reduction in earnings through redundancy, a reduction in hours, or being furloughed from a job in a shut-down sector.</w:t>
      </w:r>
      <w:r>
        <w:rPr>
          <w:rStyle w:val="FootnoteReference"/>
          <w:rFonts w:ascii="Arial" w:hAnsi="Arial" w:cs="Arial"/>
          <w:szCs w:val="24"/>
        </w:rPr>
        <w:footnoteReference w:id="125"/>
      </w:r>
      <w:r w:rsidRPr="008C35D3">
        <w:t xml:space="preserve"> They are also more likely to have fallen behind on essential bills during the pandemic.</w:t>
      </w:r>
      <w:r>
        <w:rPr>
          <w:rStyle w:val="FootnoteReference"/>
          <w:rFonts w:ascii="Arial" w:hAnsi="Arial" w:cs="Arial"/>
          <w:szCs w:val="24"/>
        </w:rPr>
        <w:footnoteReference w:id="126"/>
      </w:r>
      <w:r w:rsidRPr="008C35D3">
        <w:t xml:space="preserve"> For example, one analysis shows that in July 2020 19.5</w:t>
      </w:r>
      <w:r w:rsidR="0005771C">
        <w:t>%</w:t>
      </w:r>
      <w:r w:rsidRPr="008C35D3">
        <w:t xml:space="preserve"> of disabled people in Britain had struggled to pay their bills, and 21.3</w:t>
      </w:r>
      <w:r w:rsidR="0005771C">
        <w:t>%</w:t>
      </w:r>
      <w:r w:rsidRPr="008C35D3">
        <w:t xml:space="preserve"> had to borrow money or rely on credit in the last seven days, compared to 13.4</w:t>
      </w:r>
      <w:r w:rsidR="0005771C">
        <w:t>%</w:t>
      </w:r>
      <w:r w:rsidRPr="008C35D3">
        <w:t xml:space="preserve"> and 18.2</w:t>
      </w:r>
      <w:r w:rsidR="0005771C">
        <w:t>%</w:t>
      </w:r>
      <w:r w:rsidRPr="008C35D3">
        <w:t xml:space="preserve"> of non-disabled people respectively.</w:t>
      </w:r>
      <w:r>
        <w:rPr>
          <w:rStyle w:val="FootnoteReference"/>
          <w:rFonts w:ascii="Arial" w:hAnsi="Arial" w:cs="Arial"/>
          <w:szCs w:val="24"/>
        </w:rPr>
        <w:footnoteReference w:id="127"/>
      </w:r>
    </w:p>
    <w:p w14:paraId="0ECCBD88" w14:textId="77777777" w:rsidR="00D53038" w:rsidRPr="006C1E0B" w:rsidRDefault="00D53038" w:rsidP="006C1E0B">
      <w:pPr>
        <w:pStyle w:val="ListNumber"/>
        <w:numPr>
          <w:ilvl w:val="0"/>
          <w:numId w:val="0"/>
        </w:numPr>
        <w:ind w:left="567"/>
        <w:rPr>
          <w:b/>
        </w:rPr>
      </w:pPr>
    </w:p>
    <w:p w14:paraId="46699837" w14:textId="5DF4AEA3" w:rsidR="00452363" w:rsidRPr="00262F4F" w:rsidRDefault="00452363" w:rsidP="006C1E0B">
      <w:pPr>
        <w:pStyle w:val="ListNumber"/>
        <w:numPr>
          <w:ilvl w:val="0"/>
          <w:numId w:val="0"/>
        </w:numPr>
        <w:rPr>
          <w:b/>
        </w:rPr>
      </w:pPr>
      <w:r w:rsidRPr="00262F4F">
        <w:t>Social security provides an important safety net for many households and is of increasing importance through the pandemic. However, concerns remain around the sufficiency of support, the accessibility of the system and the impact of sanctions and conditionality.</w:t>
      </w:r>
      <w:r>
        <w:rPr>
          <w:rStyle w:val="FootnoteReference"/>
          <w:rFonts w:ascii="Arial" w:hAnsi="Arial" w:cs="Arial"/>
          <w:szCs w:val="24"/>
        </w:rPr>
        <w:footnoteReference w:id="128"/>
      </w:r>
      <w:r w:rsidRPr="00262F4F">
        <w:t xml:space="preserve"> There have also been widespread concerns that people in receipt of legacy benefits</w:t>
      </w:r>
      <w:r w:rsidR="00374724">
        <w:t xml:space="preserve"> (including J</w:t>
      </w:r>
      <w:r w:rsidR="00374724" w:rsidRPr="00374724">
        <w:t>obseeker</w:t>
      </w:r>
      <w:r w:rsidR="00374724">
        <w:t>’</w:t>
      </w:r>
      <w:r w:rsidR="00374724" w:rsidRPr="00374724">
        <w:t xml:space="preserve">s </w:t>
      </w:r>
      <w:r w:rsidR="00374724">
        <w:t>A</w:t>
      </w:r>
      <w:r w:rsidR="00374724" w:rsidRPr="00374724">
        <w:t xml:space="preserve">llowance, </w:t>
      </w:r>
      <w:r w:rsidR="00374724">
        <w:t>E</w:t>
      </w:r>
      <w:r w:rsidR="00374724" w:rsidRPr="00374724">
        <w:t xml:space="preserve">mployment and </w:t>
      </w:r>
      <w:r w:rsidR="00374724">
        <w:t>S</w:t>
      </w:r>
      <w:r w:rsidR="00374724" w:rsidRPr="00374724">
        <w:t xml:space="preserve">upport </w:t>
      </w:r>
      <w:r w:rsidR="00374724">
        <w:t>A</w:t>
      </w:r>
      <w:r w:rsidR="00374724" w:rsidRPr="00374724">
        <w:t xml:space="preserve">llowance, </w:t>
      </w:r>
      <w:r w:rsidR="00374724">
        <w:t>P</w:t>
      </w:r>
      <w:r w:rsidR="00374724" w:rsidRPr="00374724">
        <w:t xml:space="preserve">ersonal </w:t>
      </w:r>
      <w:r w:rsidR="00374724">
        <w:t>I</w:t>
      </w:r>
      <w:r w:rsidR="00374724" w:rsidRPr="00374724">
        <w:t xml:space="preserve">ndependence </w:t>
      </w:r>
      <w:r w:rsidR="00374724">
        <w:t>P</w:t>
      </w:r>
      <w:r w:rsidR="00374724" w:rsidRPr="00374724">
        <w:t xml:space="preserve">ayment and </w:t>
      </w:r>
      <w:r w:rsidR="00374724">
        <w:t>I</w:t>
      </w:r>
      <w:r w:rsidR="00374724" w:rsidRPr="00374724">
        <w:t xml:space="preserve">ncome </w:t>
      </w:r>
      <w:r w:rsidR="00374724">
        <w:t>S</w:t>
      </w:r>
      <w:r w:rsidR="00374724" w:rsidRPr="00374724">
        <w:t>upport</w:t>
      </w:r>
      <w:r w:rsidR="00374724">
        <w:t>)</w:t>
      </w:r>
      <w:r w:rsidRPr="00262F4F">
        <w:t xml:space="preserve"> – mainly disabled people and carers – have been unfairly excluded from the temporary £20-a-week uplift in universal credit allowance during the pandemic.</w:t>
      </w:r>
      <w:r>
        <w:rPr>
          <w:rStyle w:val="FootnoteReference"/>
          <w:rFonts w:ascii="Arial" w:hAnsi="Arial" w:cs="Arial"/>
          <w:szCs w:val="24"/>
        </w:rPr>
        <w:footnoteReference w:id="129"/>
      </w:r>
      <w:r w:rsidRPr="00262F4F">
        <w:t xml:space="preserve"> </w:t>
      </w:r>
    </w:p>
    <w:p w14:paraId="2901FA68" w14:textId="5E7363D8" w:rsidR="00452363" w:rsidRDefault="00452363" w:rsidP="00452363">
      <w:pPr>
        <w:pStyle w:val="Heading2"/>
      </w:pPr>
      <w:bookmarkStart w:id="59" w:name="_Toc71213929"/>
      <w:r>
        <w:lastRenderedPageBreak/>
        <w:t>Accessible housing</w:t>
      </w:r>
      <w:bookmarkEnd w:id="59"/>
    </w:p>
    <w:p w14:paraId="14352CCF" w14:textId="77777777" w:rsidR="00D53038" w:rsidRDefault="00D53038" w:rsidP="006C1E0B">
      <w:pPr>
        <w:pStyle w:val="ListNumber"/>
        <w:numPr>
          <w:ilvl w:val="0"/>
          <w:numId w:val="0"/>
        </w:numPr>
        <w:ind w:left="567" w:hanging="567"/>
      </w:pPr>
    </w:p>
    <w:p w14:paraId="6438E458" w14:textId="6F621648" w:rsidR="00452363" w:rsidRDefault="00452363" w:rsidP="006C1E0B">
      <w:pPr>
        <w:pStyle w:val="ListNumber"/>
        <w:numPr>
          <w:ilvl w:val="0"/>
          <w:numId w:val="0"/>
        </w:numPr>
      </w:pPr>
      <w:r w:rsidRPr="00452363">
        <w:t>Accessible housing is a cornerstone of independent living,</w:t>
      </w:r>
      <w:r w:rsidRPr="00452363">
        <w:rPr>
          <w:vertAlign w:val="superscript"/>
        </w:rPr>
        <w:footnoteReference w:id="130"/>
      </w:r>
      <w:r w:rsidRPr="00452363">
        <w:t xml:space="preserve"> and disabled people should have choice and control ov</w:t>
      </w:r>
      <w:r w:rsidR="0020185C">
        <w:t>er their homes and communities.</w:t>
      </w:r>
      <w:r w:rsidRPr="00452363">
        <w:t xml:space="preserve"> Yet many disabled people live in homes that do not meet their requirements. </w:t>
      </w:r>
      <w:r w:rsidR="008F5173">
        <w:t xml:space="preserve">Our 2018 </w:t>
      </w:r>
      <w:r w:rsidRPr="00452363">
        <w:t xml:space="preserve">inquiry </w:t>
      </w:r>
      <w:r w:rsidR="008F5173">
        <w:t xml:space="preserve">into housing for disabled people </w:t>
      </w:r>
      <w:r w:rsidRPr="00452363">
        <w:t>found a chronic shortage of accessible and adaptable homes across all tenure types in Great Britain.</w:t>
      </w:r>
      <w:r w:rsidRPr="00452363">
        <w:rPr>
          <w:vertAlign w:val="superscript"/>
        </w:rPr>
        <w:footnoteReference w:id="131"/>
      </w:r>
      <w:r w:rsidRPr="00452363">
        <w:t xml:space="preserve"> In 2019, it was estimated that 91</w:t>
      </w:r>
      <w:r w:rsidR="008F5173">
        <w:t>%</w:t>
      </w:r>
      <w:r w:rsidRPr="00452363">
        <w:t xml:space="preserve"> of homes d</w:t>
      </w:r>
      <w:r w:rsidR="008F5173">
        <w:t>id</w:t>
      </w:r>
      <w:r w:rsidRPr="00452363">
        <w:t xml:space="preserve"> not provide the four features </w:t>
      </w:r>
      <w:r w:rsidR="00374724">
        <w:t xml:space="preserve">required </w:t>
      </w:r>
      <w:r w:rsidR="00374724" w:rsidRPr="00374724">
        <w:t xml:space="preserve">under Part M of the building regulations </w:t>
      </w:r>
      <w:r w:rsidRPr="00452363">
        <w:t>for even the lowest level of accessibility – a home that is ‘visitable’</w:t>
      </w:r>
      <w:r w:rsidR="00374724">
        <w:t xml:space="preserve"> (to most people, including wheelchair users). </w:t>
      </w:r>
      <w:r w:rsidR="00374724" w:rsidRPr="00374724">
        <w:t>The</w:t>
      </w:r>
      <w:r w:rsidR="00374724">
        <w:t>se</w:t>
      </w:r>
      <w:r w:rsidR="00374724" w:rsidRPr="00374724">
        <w:t xml:space="preserve"> four </w:t>
      </w:r>
      <w:r w:rsidR="00374724">
        <w:t xml:space="preserve">features </w:t>
      </w:r>
      <w:r w:rsidR="00374724" w:rsidRPr="00374724">
        <w:t>are: level access to the entrance, a flush threshold, sufficiently wide doorways and circulation space, and a toilet at entrance level.</w:t>
      </w:r>
      <w:r w:rsidRPr="00452363">
        <w:rPr>
          <w:vertAlign w:val="superscript"/>
        </w:rPr>
        <w:footnoteReference w:id="132"/>
      </w:r>
      <w:r w:rsidRPr="00452363">
        <w:t xml:space="preserve"> </w:t>
      </w:r>
      <w:r w:rsidR="00374724">
        <w:t>T</w:t>
      </w:r>
      <w:r w:rsidRPr="00452363">
        <w:t xml:space="preserve">he </w:t>
      </w:r>
      <w:r w:rsidR="00F93879">
        <w:t>Housing Made for Everyone (</w:t>
      </w:r>
      <w:r w:rsidRPr="00452363">
        <w:t>HoME</w:t>
      </w:r>
      <w:r w:rsidR="00F93879">
        <w:t>)</w:t>
      </w:r>
      <w:r w:rsidRPr="00452363">
        <w:t xml:space="preserve"> </w:t>
      </w:r>
      <w:r w:rsidR="00F93879">
        <w:t>c</w:t>
      </w:r>
      <w:r w:rsidRPr="00452363">
        <w:t>oalition estimate</w:t>
      </w:r>
      <w:r w:rsidR="008F5173">
        <w:t>s</w:t>
      </w:r>
      <w:r w:rsidRPr="00452363">
        <w:t xml:space="preserve"> that some 400,000 wheelchair users are living in homes that are neither adapted nor accessible.</w:t>
      </w:r>
      <w:r w:rsidRPr="00452363">
        <w:rPr>
          <w:vertAlign w:val="superscript"/>
        </w:rPr>
        <w:footnoteReference w:id="133"/>
      </w:r>
      <w:r w:rsidRPr="00452363">
        <w:t xml:space="preserve"> </w:t>
      </w:r>
    </w:p>
    <w:p w14:paraId="6831FC59" w14:textId="77777777" w:rsidR="00D53038" w:rsidRDefault="00D53038" w:rsidP="006C1E0B">
      <w:pPr>
        <w:pStyle w:val="ListNumber"/>
        <w:numPr>
          <w:ilvl w:val="0"/>
          <w:numId w:val="0"/>
        </w:numPr>
        <w:ind w:left="567"/>
      </w:pPr>
    </w:p>
    <w:p w14:paraId="2F0C4551" w14:textId="0CBB86EE" w:rsidR="00452363" w:rsidRPr="00262F4F" w:rsidRDefault="00452363" w:rsidP="006C1E0B">
      <w:pPr>
        <w:pStyle w:val="ListNumber"/>
        <w:numPr>
          <w:ilvl w:val="0"/>
          <w:numId w:val="0"/>
        </w:numPr>
      </w:pPr>
      <w:r w:rsidRPr="00CA5ECD">
        <w:lastRenderedPageBreak/>
        <w:t>Local authorities are not ensuring the construction of enough accessible homes to meet demand.</w:t>
      </w:r>
      <w:r w:rsidRPr="000A4071">
        <w:rPr>
          <w:rStyle w:val="FootnoteReference"/>
          <w:rFonts w:ascii="Arial" w:hAnsi="Arial" w:cs="Arial"/>
          <w:szCs w:val="24"/>
        </w:rPr>
        <w:footnoteReference w:id="134"/>
      </w:r>
      <w:r w:rsidRPr="00CA5ECD">
        <w:t xml:space="preserve"> Our 2018 inquiry found that only 28</w:t>
      </w:r>
      <w:r w:rsidR="00CC7931">
        <w:t>%</w:t>
      </w:r>
      <w:r w:rsidRPr="00CA5ECD">
        <w:t xml:space="preserve"> of local authorities across Britain set a percentage target for accessible homes.</w:t>
      </w:r>
      <w:r w:rsidRPr="000A4071">
        <w:rPr>
          <w:rStyle w:val="FootnoteReference"/>
          <w:rFonts w:ascii="Arial" w:hAnsi="Arial" w:cs="Arial"/>
          <w:szCs w:val="24"/>
        </w:rPr>
        <w:footnoteReference w:id="135"/>
      </w:r>
      <w:r w:rsidRPr="00CA5ECD">
        <w:t xml:space="preserve"> Disabled people also often face unacceptable bureaucracy and delays when they require housing adaptations –</w:t>
      </w:r>
      <w:r w:rsidRPr="00C85DC4">
        <w:t xml:space="preserve"> such as the installation of </w:t>
      </w:r>
      <w:bookmarkStart w:id="61" w:name="_Hlk66612150"/>
      <w:r w:rsidRPr="00C85DC4">
        <w:t xml:space="preserve">grab rails, stairlifts, or wet rooms </w:t>
      </w:r>
      <w:bookmarkEnd w:id="61"/>
      <w:r w:rsidRPr="005D6DEF">
        <w:t>– to meet their basic living needs.</w:t>
      </w:r>
      <w:r w:rsidRPr="000A4071">
        <w:rPr>
          <w:rStyle w:val="FootnoteReference"/>
          <w:rFonts w:ascii="Arial" w:hAnsi="Arial" w:cs="Arial"/>
          <w:szCs w:val="24"/>
        </w:rPr>
        <w:footnoteReference w:id="136"/>
      </w:r>
      <w:r w:rsidRPr="00CA5ECD">
        <w:t xml:space="preserve"> Section 36 of the Equality Act 2010</w:t>
      </w:r>
      <w:r w:rsidR="00352332">
        <w:t>,</w:t>
      </w:r>
      <w:r>
        <w:t xml:space="preserve"> </w:t>
      </w:r>
      <w:r w:rsidRPr="00CA5ECD">
        <w:t xml:space="preserve">which </w:t>
      </w:r>
      <w:r w:rsidR="00352332">
        <w:t>states</w:t>
      </w:r>
      <w:r>
        <w:t xml:space="preserve"> </w:t>
      </w:r>
      <w:r w:rsidRPr="00CA5ECD">
        <w:t>that the duty to make reasonable adjustments applies to the common parts of rented accommodation</w:t>
      </w:r>
      <w:r w:rsidR="00352332">
        <w:t>,</w:t>
      </w:r>
      <w:r w:rsidRPr="00CA5ECD">
        <w:t xml:space="preserve"> has not yet been</w:t>
      </w:r>
      <w:r>
        <w:t xml:space="preserve"> fully</w:t>
      </w:r>
      <w:r w:rsidRPr="00CA5ECD">
        <w:t xml:space="preserve"> implemented.</w:t>
      </w:r>
      <w:r>
        <w:rPr>
          <w:rStyle w:val="FootnoteReference"/>
          <w:rFonts w:ascii="Arial" w:hAnsi="Arial" w:cs="Arial"/>
          <w:szCs w:val="24"/>
        </w:rPr>
        <w:footnoteReference w:id="137"/>
      </w:r>
      <w:r>
        <w:t xml:space="preserve"> </w:t>
      </w:r>
      <w:r w:rsidRPr="00262F4F">
        <w:t>Furthermore, the provision of advice, support and advocacy for disabled people living in unsuitable accommodation is patchy.</w:t>
      </w:r>
      <w:r w:rsidRPr="000A4071">
        <w:rPr>
          <w:rStyle w:val="FootnoteReference"/>
          <w:rFonts w:ascii="Arial" w:hAnsi="Arial" w:cs="Arial"/>
          <w:szCs w:val="24"/>
        </w:rPr>
        <w:footnoteReference w:id="138"/>
      </w:r>
      <w:r w:rsidRPr="00262F4F">
        <w:t xml:space="preserve"> </w:t>
      </w:r>
    </w:p>
    <w:p w14:paraId="054DEB7C" w14:textId="0825FEA1" w:rsidR="00452363" w:rsidRPr="00452363" w:rsidRDefault="00452363" w:rsidP="00452363">
      <w:pPr>
        <w:pStyle w:val="Heading2"/>
      </w:pPr>
      <w:bookmarkStart w:id="62" w:name="_Toc71213930"/>
      <w:r>
        <w:t>Accessible transport</w:t>
      </w:r>
      <w:bookmarkEnd w:id="62"/>
    </w:p>
    <w:p w14:paraId="0BCA4D22" w14:textId="77777777" w:rsidR="00452363" w:rsidRPr="00452363" w:rsidRDefault="00452363" w:rsidP="00452363"/>
    <w:p w14:paraId="076AAB36" w14:textId="235D10BE" w:rsidR="001A0636" w:rsidRDefault="001A0636" w:rsidP="006C1E0B">
      <w:pPr>
        <w:pStyle w:val="ListNumber"/>
        <w:numPr>
          <w:ilvl w:val="0"/>
          <w:numId w:val="0"/>
        </w:numPr>
      </w:pPr>
      <w:r w:rsidRPr="001A0636">
        <w:t>Accessible, affordable transport underpins disabled people’s ability to participate in all aspects of social and economic life, and to live independently. In recent years, there has been an ongoing commitment to improve the accessibility of public transport to make travel easier for disabled people.</w:t>
      </w:r>
      <w:r w:rsidR="00C72F1A">
        <w:t xml:space="preserve"> For example, i</w:t>
      </w:r>
      <w:r w:rsidR="00C72F1A" w:rsidRPr="00C72F1A">
        <w:t xml:space="preserve">n 2018, the UK Government published </w:t>
      </w:r>
      <w:r w:rsidR="00C72F1A">
        <w:t>a s</w:t>
      </w:r>
      <w:r w:rsidR="00C72F1A" w:rsidRPr="00C72F1A">
        <w:t>trategy</w:t>
      </w:r>
      <w:r w:rsidR="00C72F1A">
        <w:t xml:space="preserve"> that</w:t>
      </w:r>
      <w:r w:rsidR="00C72F1A" w:rsidRPr="00C72F1A">
        <w:t xml:space="preserve"> set out plans to improve the accessibility of public transport.</w:t>
      </w:r>
      <w:r w:rsidRPr="001A0636">
        <w:rPr>
          <w:vertAlign w:val="superscript"/>
        </w:rPr>
        <w:footnoteReference w:id="139"/>
      </w:r>
      <w:r w:rsidRPr="001A0636">
        <w:t xml:space="preserve"> </w:t>
      </w:r>
    </w:p>
    <w:p w14:paraId="631EDA8C" w14:textId="77777777" w:rsidR="00D53038" w:rsidRDefault="00D53038" w:rsidP="006C1E0B">
      <w:pPr>
        <w:pStyle w:val="ListNumber"/>
        <w:numPr>
          <w:ilvl w:val="0"/>
          <w:numId w:val="0"/>
        </w:numPr>
        <w:ind w:left="567"/>
      </w:pPr>
    </w:p>
    <w:p w14:paraId="0AB88364" w14:textId="650DE642" w:rsidR="005C65BC" w:rsidRDefault="005C65BC" w:rsidP="006C1E0B">
      <w:pPr>
        <w:pStyle w:val="ListNumber"/>
        <w:numPr>
          <w:ilvl w:val="0"/>
          <w:numId w:val="0"/>
        </w:numPr>
      </w:pPr>
      <w:r w:rsidRPr="003E0104">
        <w:lastRenderedPageBreak/>
        <w:t>However, disabled people continue to face barriers</w:t>
      </w:r>
      <w:r>
        <w:t xml:space="preserve"> </w:t>
      </w:r>
      <w:r w:rsidR="003F4E38">
        <w:t xml:space="preserve">to </w:t>
      </w:r>
      <w:r>
        <w:t xml:space="preserve">accessing public transport, and efforts to improve the situation </w:t>
      </w:r>
      <w:r w:rsidRPr="005B2F2F">
        <w:t>have been slow and piecemeal. T</w:t>
      </w:r>
      <w:r w:rsidRPr="00E6028F">
        <w:t>h</w:t>
      </w:r>
      <w:r>
        <w:t>os</w:t>
      </w:r>
      <w:r w:rsidRPr="00E6028F">
        <w:t xml:space="preserve">e barriers </w:t>
      </w:r>
      <w:r w:rsidR="003F4E38">
        <w:t xml:space="preserve">vary </w:t>
      </w:r>
      <w:r w:rsidRPr="00E6028F">
        <w:t>depend</w:t>
      </w:r>
      <w:r w:rsidR="003F4E38">
        <w:t>ing</w:t>
      </w:r>
      <w:r w:rsidRPr="00E6028F">
        <w:t xml:space="preserve"> on the</w:t>
      </w:r>
      <w:r>
        <w:t xml:space="preserve"> person’s </w:t>
      </w:r>
      <w:r w:rsidRPr="00E6028F">
        <w:t>particular impairment. For many, including wheelchair users</w:t>
      </w:r>
      <w:r>
        <w:t>,</w:t>
      </w:r>
      <w:r w:rsidRPr="00E6028F">
        <w:t xml:space="preserve"> </w:t>
      </w:r>
      <w:r w:rsidR="003F4E38">
        <w:t xml:space="preserve">it is simply the </w:t>
      </w:r>
      <w:r w:rsidRPr="00E6028F">
        <w:t xml:space="preserve">physical inaccessibility of </w:t>
      </w:r>
      <w:r w:rsidR="003F4E38">
        <w:t xml:space="preserve">the </w:t>
      </w:r>
      <w:r w:rsidRPr="00E6028F">
        <w:t xml:space="preserve">infrastructure </w:t>
      </w:r>
      <w:r w:rsidR="003F4E38">
        <w:t>that</w:t>
      </w:r>
      <w:r w:rsidRPr="00E6028F">
        <w:t xml:space="preserve"> prevents them from</w:t>
      </w:r>
      <w:r>
        <w:t xml:space="preserve"> accessing transport – a particular problem on the rail network.</w:t>
      </w:r>
      <w:r>
        <w:rPr>
          <w:rStyle w:val="FootnoteReference"/>
          <w:rFonts w:ascii="Arial" w:hAnsi="Arial" w:cs="Arial"/>
          <w:szCs w:val="24"/>
        </w:rPr>
        <w:footnoteReference w:id="140"/>
      </w:r>
      <w:r w:rsidRPr="005B2F2F">
        <w:t xml:space="preserve"> </w:t>
      </w:r>
      <w:r>
        <w:t xml:space="preserve">The lack of accessible </w:t>
      </w:r>
      <w:r w:rsidRPr="00E6028F">
        <w:t xml:space="preserve">information, such as </w:t>
      </w:r>
      <w:r w:rsidR="003F4E38">
        <w:t xml:space="preserve">not having </w:t>
      </w:r>
      <w:r w:rsidRPr="00E6028F">
        <w:t>audio-visual announcements on all buses</w:t>
      </w:r>
      <w:r>
        <w:t>, also presents challenges. Despite recent efforts, more regular and consistent staff training is still required</w:t>
      </w:r>
      <w:r w:rsidR="003F4E38">
        <w:t>;</w:t>
      </w:r>
      <w:r>
        <w:t xml:space="preserve"> </w:t>
      </w:r>
      <w:r w:rsidR="003F4E38">
        <w:t xml:space="preserve">there is </w:t>
      </w:r>
      <w:r>
        <w:t>clear evidence that helpful and supportive staff mak</w:t>
      </w:r>
      <w:r w:rsidR="003F4E38">
        <w:t>e</w:t>
      </w:r>
      <w:r>
        <w:t xml:space="preserve"> </w:t>
      </w:r>
      <w:r w:rsidR="003F4E38">
        <w:t xml:space="preserve">a </w:t>
      </w:r>
      <w:r>
        <w:t>significant difference to the travelling experience of disabled passengers.</w:t>
      </w:r>
      <w:r>
        <w:rPr>
          <w:rStyle w:val="FootnoteReference"/>
          <w:rFonts w:ascii="Arial" w:hAnsi="Arial" w:cs="Arial"/>
          <w:szCs w:val="24"/>
        </w:rPr>
        <w:footnoteReference w:id="141"/>
      </w:r>
    </w:p>
    <w:p w14:paraId="2235B1C8" w14:textId="77777777" w:rsidR="003731CD" w:rsidRPr="003E0104" w:rsidRDefault="003731CD" w:rsidP="006C1E0B">
      <w:pPr>
        <w:pStyle w:val="ListNumber"/>
        <w:numPr>
          <w:ilvl w:val="0"/>
          <w:numId w:val="0"/>
        </w:numPr>
        <w:ind w:left="567"/>
      </w:pPr>
    </w:p>
    <w:p w14:paraId="406BE3DD" w14:textId="6D2BF809" w:rsidR="005C65BC" w:rsidRDefault="005C65BC" w:rsidP="006C1E0B">
      <w:pPr>
        <w:pStyle w:val="ListNumber"/>
        <w:numPr>
          <w:ilvl w:val="0"/>
          <w:numId w:val="0"/>
        </w:numPr>
        <w:rPr>
          <w:shd w:val="clear" w:color="auto" w:fill="FFFFFF"/>
        </w:rPr>
      </w:pPr>
      <w:r w:rsidRPr="000A4071">
        <w:rPr>
          <w:shd w:val="clear" w:color="auto" w:fill="FFFFFF"/>
        </w:rPr>
        <w:t>Disabled people who use wheelchairs still face specific barriers accessing taxis and private hire vehicles, including a shortage of wheelchair accessible vehicles.</w:t>
      </w:r>
      <w:r w:rsidRPr="000A4071">
        <w:rPr>
          <w:rStyle w:val="FootnoteReference"/>
          <w:rFonts w:ascii="Arial" w:hAnsi="Arial" w:cs="Arial"/>
          <w:color w:val="0B0C0C"/>
          <w:szCs w:val="24"/>
          <w:shd w:val="clear" w:color="auto" w:fill="FFFFFF"/>
        </w:rPr>
        <w:footnoteReference w:id="142"/>
      </w:r>
      <w:r w:rsidRPr="000A4071">
        <w:rPr>
          <w:shd w:val="clear" w:color="auto" w:fill="FFFFFF"/>
        </w:rPr>
        <w:t xml:space="preserve"> A decade on from the passing of the Equality Act 2010, a number of sections of the Act in relation to taxis and private hire vehicles are not yet, or are only partially, in force.</w:t>
      </w:r>
      <w:r w:rsidRPr="000A4071">
        <w:rPr>
          <w:rStyle w:val="FootnoteReference"/>
          <w:rFonts w:ascii="Arial" w:hAnsi="Arial" w:cs="Arial"/>
          <w:color w:val="0B0C0C"/>
          <w:szCs w:val="24"/>
          <w:shd w:val="clear" w:color="auto" w:fill="FFFFFF"/>
        </w:rPr>
        <w:footnoteReference w:id="143"/>
      </w:r>
      <w:r w:rsidRPr="000A4071">
        <w:rPr>
          <w:shd w:val="clear" w:color="auto" w:fill="FFFFFF"/>
        </w:rPr>
        <w:t xml:space="preserve">  </w:t>
      </w:r>
    </w:p>
    <w:p w14:paraId="61F190DA" w14:textId="77777777" w:rsidR="003731CD" w:rsidRPr="000A4071" w:rsidRDefault="003731CD" w:rsidP="006C1E0B">
      <w:pPr>
        <w:pStyle w:val="ListNumber"/>
        <w:numPr>
          <w:ilvl w:val="0"/>
          <w:numId w:val="0"/>
        </w:numPr>
        <w:rPr>
          <w:shd w:val="clear" w:color="auto" w:fill="FFFFFF"/>
        </w:rPr>
      </w:pPr>
    </w:p>
    <w:p w14:paraId="7DBF3650" w14:textId="61474FC9" w:rsidR="005C65BC" w:rsidRDefault="005C65BC" w:rsidP="006C1E0B">
      <w:pPr>
        <w:pStyle w:val="ListNumber"/>
        <w:numPr>
          <w:ilvl w:val="0"/>
          <w:numId w:val="0"/>
        </w:numPr>
        <w:rPr>
          <w:rFonts w:ascii="CIDFont+F1" w:hAnsi="CIDFont+F1" w:cs="CIDFont+F1"/>
        </w:rPr>
      </w:pPr>
      <w:r w:rsidRPr="000A4071">
        <w:rPr>
          <w:shd w:val="clear" w:color="auto" w:fill="FFFFFF"/>
        </w:rPr>
        <w:t>Disabled people can face particular barriers in reporting complaints when transport accessibility regulations are breached. Passengers are often not aware of their rights, or what constitutes discrimination on public transport. The variety of different regulators and complaint</w:t>
      </w:r>
      <w:r w:rsidR="00D657ED">
        <w:rPr>
          <w:shd w:val="clear" w:color="auto" w:fill="FFFFFF"/>
        </w:rPr>
        <w:t>-</w:t>
      </w:r>
      <w:r w:rsidRPr="000A4071">
        <w:rPr>
          <w:shd w:val="clear" w:color="auto" w:fill="FFFFFF"/>
        </w:rPr>
        <w:t>handling bodies across the transport sector can be confusing</w:t>
      </w:r>
      <w:r>
        <w:rPr>
          <w:shd w:val="clear" w:color="auto" w:fill="FFFFFF"/>
        </w:rPr>
        <w:t>,</w:t>
      </w:r>
      <w:r w:rsidRPr="000A4071">
        <w:rPr>
          <w:shd w:val="clear" w:color="auto" w:fill="FFFFFF"/>
        </w:rPr>
        <w:t xml:space="preserve"> and complaints processes </w:t>
      </w:r>
      <w:r w:rsidRPr="006C1E0B">
        <w:rPr>
          <w:rFonts w:cstheme="minorHAnsi"/>
        </w:rPr>
        <w:t>may not be provided in accessible formats for a range of impairments.</w:t>
      </w:r>
      <w:r w:rsidRPr="000A4071">
        <w:rPr>
          <w:rStyle w:val="FootnoteReference"/>
          <w:rFonts w:ascii="CIDFont+F1" w:hAnsi="CIDFont+F1" w:cs="CIDFont+F1"/>
          <w:szCs w:val="24"/>
        </w:rPr>
        <w:footnoteReference w:id="144"/>
      </w:r>
    </w:p>
    <w:p w14:paraId="481FEE58" w14:textId="77777777" w:rsidR="005C65BC" w:rsidRDefault="005C65BC" w:rsidP="005C65BC">
      <w:pPr>
        <w:pStyle w:val="ListNumber"/>
        <w:numPr>
          <w:ilvl w:val="0"/>
          <w:numId w:val="0"/>
        </w:numPr>
        <w:ind w:left="567"/>
        <w:rPr>
          <w:rFonts w:ascii="CIDFont+F1" w:hAnsi="CIDFont+F1" w:cs="CIDFont+F1"/>
        </w:rPr>
      </w:pPr>
    </w:p>
    <w:p w14:paraId="6E25D900" w14:textId="7BA88A13" w:rsidR="005C65BC" w:rsidRPr="005C65BC" w:rsidRDefault="005C65BC" w:rsidP="0020185C">
      <w:pPr>
        <w:pStyle w:val="Heading3"/>
      </w:pPr>
      <w:r w:rsidRPr="005C65BC">
        <w:lastRenderedPageBreak/>
        <w:t>Recommendations</w:t>
      </w:r>
    </w:p>
    <w:p w14:paraId="03A0B26A" w14:textId="05BDB9BE" w:rsidR="005C65BC" w:rsidRPr="000C0843" w:rsidRDefault="005C65BC" w:rsidP="000C0843">
      <w:pPr>
        <w:pStyle w:val="ListBullet3"/>
      </w:pPr>
      <w:r w:rsidRPr="00CA6510">
        <w:t xml:space="preserve">The UK Government should remove the reservation and interpretive declaration on Article 24 </w:t>
      </w:r>
      <w:r w:rsidR="0003663B">
        <w:t xml:space="preserve">(Education) </w:t>
      </w:r>
      <w:r w:rsidRPr="00CA6510">
        <w:t>of the CRPD, and take concrete steps to facilitate genuine family choice and realise the right of disabled children to inclusive education</w:t>
      </w:r>
      <w:r>
        <w:t>, with the best interests of the child a primary consideration</w:t>
      </w:r>
      <w:r w:rsidRPr="00CA6510">
        <w:t>.</w:t>
      </w:r>
      <w:r w:rsidRPr="00BD17F0">
        <w:rPr>
          <w:rStyle w:val="FootnoteReference"/>
          <w:rFonts w:ascii="Arial" w:hAnsi="Arial" w:cs="Arial"/>
          <w:szCs w:val="24"/>
        </w:rPr>
        <w:footnoteReference w:id="145"/>
      </w:r>
    </w:p>
    <w:p w14:paraId="46E92D1A" w14:textId="544B4D2D" w:rsidR="005C65BC" w:rsidRDefault="005C65BC" w:rsidP="000C0843">
      <w:pPr>
        <w:pStyle w:val="ListBullet3"/>
        <w:rPr>
          <w:shd w:val="clear" w:color="auto" w:fill="FFFFFF"/>
        </w:rPr>
      </w:pPr>
      <w:r>
        <w:rPr>
          <w:shd w:val="clear" w:color="auto" w:fill="FFFFFF"/>
        </w:rPr>
        <w:t xml:space="preserve">The Department for Education should implement the recommendations made by the </w:t>
      </w:r>
      <w:r w:rsidR="00FB3841">
        <w:rPr>
          <w:shd w:val="clear" w:color="auto" w:fill="FFFFFF"/>
        </w:rPr>
        <w:t xml:space="preserve">House of Commons </w:t>
      </w:r>
      <w:r w:rsidRPr="00CA6510">
        <w:rPr>
          <w:shd w:val="clear" w:color="auto" w:fill="FFFFFF"/>
        </w:rPr>
        <w:t>Women and Equalities Committee</w:t>
      </w:r>
      <w:r w:rsidRPr="00CA6510">
        <w:rPr>
          <w:rStyle w:val="FootnoteReference"/>
          <w:rFonts w:ascii="Arial" w:hAnsi="Arial" w:cs="Arial"/>
          <w:b/>
          <w:szCs w:val="24"/>
          <w:shd w:val="clear" w:color="auto" w:fill="FFFFFF"/>
        </w:rPr>
        <w:footnoteReference w:id="146"/>
      </w:r>
      <w:r>
        <w:rPr>
          <w:shd w:val="clear" w:color="auto" w:fill="FFFFFF"/>
        </w:rPr>
        <w:t xml:space="preserve"> to</w:t>
      </w:r>
      <w:r w:rsidRPr="00953FDF">
        <w:rPr>
          <w:shd w:val="clear" w:color="auto" w:fill="FFFFFF"/>
        </w:rPr>
        <w:t xml:space="preserve"> address the backlog of EHC assessments and </w:t>
      </w:r>
      <w:r w:rsidR="00FB3841">
        <w:rPr>
          <w:shd w:val="clear" w:color="auto" w:fill="FFFFFF"/>
        </w:rPr>
        <w:t>p</w:t>
      </w:r>
      <w:r w:rsidRPr="00953FDF">
        <w:rPr>
          <w:shd w:val="clear" w:color="auto" w:fill="FFFFFF"/>
        </w:rPr>
        <w:t>lans to ensure that children and young people with SEND get the support they need within statutory timescales</w:t>
      </w:r>
      <w:r>
        <w:rPr>
          <w:shd w:val="clear" w:color="auto" w:fill="FFFFFF"/>
        </w:rPr>
        <w:t>. S</w:t>
      </w:r>
      <w:r w:rsidRPr="00953FDF">
        <w:rPr>
          <w:shd w:val="clear" w:color="auto" w:fill="FFFFFF"/>
        </w:rPr>
        <w:t>hould flexibilities in EHC</w:t>
      </w:r>
      <w:r w:rsidR="007F626E">
        <w:rPr>
          <w:shd w:val="clear" w:color="auto" w:fill="FFFFFF"/>
        </w:rPr>
        <w:t xml:space="preserve"> plan</w:t>
      </w:r>
      <w:r w:rsidRPr="00953FDF">
        <w:rPr>
          <w:shd w:val="clear" w:color="auto" w:fill="FFFFFF"/>
        </w:rPr>
        <w:t xml:space="preserve"> duties become necessary again, </w:t>
      </w:r>
      <w:r>
        <w:rPr>
          <w:shd w:val="clear" w:color="auto" w:fill="FFFFFF"/>
        </w:rPr>
        <w:t xml:space="preserve">the Department for Education should also </w:t>
      </w:r>
      <w:r w:rsidRPr="00953FDF">
        <w:rPr>
          <w:shd w:val="clear" w:color="auto" w:fill="FFFFFF"/>
        </w:rPr>
        <w:t>update guidance to local authorities to state that they should publish information</w:t>
      </w:r>
      <w:r>
        <w:rPr>
          <w:shd w:val="clear" w:color="auto" w:fill="FFFFFF"/>
        </w:rPr>
        <w:t xml:space="preserve"> setting out the implications of flexibilities on SEND provision in their area and </w:t>
      </w:r>
      <w:r w:rsidRPr="00953FDF">
        <w:rPr>
          <w:shd w:val="clear" w:color="auto" w:fill="FFFFFF"/>
        </w:rPr>
        <w:t xml:space="preserve">the minimum level of provision that they expect to be able to provide. </w:t>
      </w:r>
    </w:p>
    <w:p w14:paraId="52E89949" w14:textId="77777777" w:rsidR="005C65BC" w:rsidRPr="00CA6510" w:rsidRDefault="005C65BC" w:rsidP="000C0843">
      <w:pPr>
        <w:pStyle w:val="ListBullet3"/>
      </w:pPr>
      <w:r w:rsidRPr="00CA6510">
        <w:t xml:space="preserve">The </w:t>
      </w:r>
      <w:r>
        <w:t>Department for Work and Pensions</w:t>
      </w:r>
      <w:r w:rsidRPr="00CA6510">
        <w:t xml:space="preserve"> should introduce mandatory monitoring and reporting on the recruitment, retention</w:t>
      </w:r>
      <w:r>
        <w:t>,</w:t>
      </w:r>
      <w:r w:rsidRPr="00CA6510">
        <w:t xml:space="preserve"> progression</w:t>
      </w:r>
      <w:r>
        <w:t xml:space="preserve"> and pay</w:t>
      </w:r>
      <w:r w:rsidRPr="00CA6510">
        <w:t xml:space="preserve"> of disabled people for employers with over 250 staff, including mandatory action planning to address the factors contributing to disability employment and pay gaps. </w:t>
      </w:r>
    </w:p>
    <w:p w14:paraId="404D6880" w14:textId="743DC509" w:rsidR="005C65BC" w:rsidRPr="00CA6510" w:rsidRDefault="005C65BC" w:rsidP="000C0843">
      <w:pPr>
        <w:pStyle w:val="ListBullet3"/>
      </w:pPr>
      <w:r w:rsidRPr="00CA6510">
        <w:t xml:space="preserve">The </w:t>
      </w:r>
      <w:r>
        <w:t>Department for Work and Pensions</w:t>
      </w:r>
      <w:r w:rsidRPr="00CA6510">
        <w:t xml:space="preserve"> should publish robu</w:t>
      </w:r>
      <w:r w:rsidR="000C0843">
        <w:t>st time-bound targets to reduce</w:t>
      </w:r>
      <w:r w:rsidRPr="00CA6510">
        <w:t xml:space="preserve"> disability employment and pay gap</w:t>
      </w:r>
      <w:r>
        <w:t>s</w:t>
      </w:r>
      <w:r w:rsidRPr="00CA6510">
        <w:t xml:space="preserve">, and ensure there is clear ministerial accountability in meeting those targets. </w:t>
      </w:r>
    </w:p>
    <w:p w14:paraId="6FEB2B5A" w14:textId="69CD78B2" w:rsidR="00193935" w:rsidRDefault="005C65BC" w:rsidP="00193935">
      <w:pPr>
        <w:pStyle w:val="ListBullet3"/>
      </w:pPr>
      <w:r w:rsidRPr="00CA6510">
        <w:t xml:space="preserve">The </w:t>
      </w:r>
      <w:r>
        <w:t>Department for Work and Pensions</w:t>
      </w:r>
      <w:r w:rsidRPr="00CA6510">
        <w:t xml:space="preserve"> should ensure that the social security system is accessible and effective for all, supports the right to an adequate standard of living, and does not contribute to increasing material deprivation a</w:t>
      </w:r>
      <w:r w:rsidR="0020185C">
        <w:t xml:space="preserve">nd poverty. This should include </w:t>
      </w:r>
      <w:r w:rsidR="00193935">
        <w:t>a review of the time until</w:t>
      </w:r>
      <w:r w:rsidR="0020185C" w:rsidRPr="00CA6510">
        <w:t xml:space="preserve"> first </w:t>
      </w:r>
      <w:r w:rsidR="0020185C">
        <w:t xml:space="preserve">social security </w:t>
      </w:r>
      <w:r w:rsidR="0020185C" w:rsidRPr="00CA6510">
        <w:t>payment</w:t>
      </w:r>
      <w:r w:rsidR="0020185C">
        <w:t>,</w:t>
      </w:r>
      <w:r w:rsidR="0020185C" w:rsidRPr="00CA6510">
        <w:t xml:space="preserve"> and the impact </w:t>
      </w:r>
      <w:r w:rsidR="00193935">
        <w:t>of sanctions and conditionality. It should also include</w:t>
      </w:r>
      <w:r w:rsidR="0020185C" w:rsidRPr="00CA6510">
        <w:t xml:space="preserve"> the collection and monitoring of data on the protected characteristics of claimants and claim outcomes</w:t>
      </w:r>
      <w:r w:rsidR="0020185C">
        <w:t>,</w:t>
      </w:r>
      <w:r w:rsidR="0020185C" w:rsidRPr="00CA6510">
        <w:t xml:space="preserve"> and </w:t>
      </w:r>
      <w:r w:rsidR="0020185C">
        <w:t xml:space="preserve">the </w:t>
      </w:r>
      <w:r w:rsidR="0020185C" w:rsidRPr="00CA6510">
        <w:t>provision of reasonable adjustments where required.</w:t>
      </w:r>
      <w:r w:rsidR="0020185C">
        <w:t xml:space="preserve"> </w:t>
      </w:r>
    </w:p>
    <w:p w14:paraId="712DCEC4" w14:textId="29AD1429" w:rsidR="005C65BC" w:rsidRPr="00CA6510" w:rsidRDefault="0020185C" w:rsidP="00193935">
      <w:pPr>
        <w:pStyle w:val="ListBullet3"/>
      </w:pPr>
      <w:r>
        <w:lastRenderedPageBreak/>
        <w:t>Data on reasonable adjustment provision (including</w:t>
      </w:r>
      <w:r w:rsidRPr="0003663B">
        <w:t xml:space="preserve"> anticipatory reasonable adjustments</w:t>
      </w:r>
      <w:r>
        <w:t>)</w:t>
      </w:r>
      <w:r w:rsidRPr="0003663B">
        <w:t xml:space="preserve"> should be disaggregated by impairment type, including for people with mental health conditions, people with learning disabilities and people with fluctuating conditions. </w:t>
      </w:r>
    </w:p>
    <w:p w14:paraId="2306AFC6" w14:textId="5E447B88" w:rsidR="005C65BC" w:rsidRPr="008520C6" w:rsidRDefault="005C65BC" w:rsidP="000C0843">
      <w:pPr>
        <w:pStyle w:val="ListBullet3"/>
      </w:pPr>
      <w:r w:rsidRPr="00CA6510">
        <w:rPr>
          <w:lang w:eastAsia="en-GB"/>
        </w:rPr>
        <w:t xml:space="preserve">The UK Government should identify </w:t>
      </w:r>
      <w:r w:rsidRPr="00CA6510">
        <w:t xml:space="preserve">and monitor the specific economic impacts of the pandemic on groups of people who share protected characteristics, including disabled people. The </w:t>
      </w:r>
      <w:r w:rsidR="00FB3841">
        <w:t>g</w:t>
      </w:r>
      <w:r w:rsidRPr="00CA6510">
        <w:t xml:space="preserve">overnment should ensure that this insight informs </w:t>
      </w:r>
      <w:r w:rsidR="00FB3841">
        <w:t xml:space="preserve">its </w:t>
      </w:r>
      <w:r w:rsidRPr="00CA6510">
        <w:t>strategic plans, investment frameworks and public sector contracts at a formative stage.</w:t>
      </w:r>
    </w:p>
    <w:p w14:paraId="7C250F38" w14:textId="79BE5E26" w:rsidR="005C65BC" w:rsidRPr="005C65BC" w:rsidRDefault="005C65BC" w:rsidP="000C0843">
      <w:pPr>
        <w:pStyle w:val="ListBullet3"/>
      </w:pPr>
      <w:r w:rsidRPr="00CA6510">
        <w:t xml:space="preserve">The </w:t>
      </w:r>
      <w:r>
        <w:t>Ministry of Housing, Communities and Local Government</w:t>
      </w:r>
      <w:r w:rsidRPr="00CA6510">
        <w:t xml:space="preserve"> </w:t>
      </w:r>
      <w:r w:rsidR="0003663B">
        <w:t xml:space="preserve">(which consulted on raising accessibility standards for new homes in 2020) </w:t>
      </w:r>
      <w:r w:rsidRPr="00CA6510">
        <w:t xml:space="preserve">should ensure there is an adequate supply of new houses built to inclusive/universal design standards and to wheelchair-accessible standards across all tenures, in line with the recommendations of </w:t>
      </w:r>
      <w:r w:rsidR="00FB3841">
        <w:t xml:space="preserve">our </w:t>
      </w:r>
      <w:r w:rsidRPr="00CA6510">
        <w:t>housing inquir</w:t>
      </w:r>
      <w:r w:rsidRPr="00193935">
        <w:t>y.</w:t>
      </w:r>
      <w:r w:rsidRPr="00193935">
        <w:rPr>
          <w:rStyle w:val="FootnoteReference"/>
          <w:rFonts w:ascii="Arial" w:hAnsi="Arial" w:cs="Arial"/>
          <w:szCs w:val="24"/>
        </w:rPr>
        <w:footnoteReference w:id="147"/>
      </w:r>
    </w:p>
    <w:p w14:paraId="28DB60CB" w14:textId="789233F5" w:rsidR="005C65BC" w:rsidRPr="00DC0252" w:rsidRDefault="005C65BC" w:rsidP="000C0843">
      <w:pPr>
        <w:pStyle w:val="ListBullet3"/>
      </w:pPr>
      <w:r w:rsidRPr="005C65BC">
        <w:t>The UK Government should urgently follow</w:t>
      </w:r>
      <w:r w:rsidR="00FB3841">
        <w:t xml:space="preserve"> </w:t>
      </w:r>
      <w:r w:rsidRPr="005C65BC">
        <w:t xml:space="preserve">up on its 2018 commitment to implement </w:t>
      </w:r>
      <w:r w:rsidR="0077672D">
        <w:t>S</w:t>
      </w:r>
      <w:r w:rsidRPr="005C65BC">
        <w:t>ection 36 of the Equality Act 2010 to require reasonable adjustments to the common parts of rented accommodation and promptly consult if further consultation is deemed necessary prior to implementation.</w:t>
      </w:r>
    </w:p>
    <w:p w14:paraId="78B2F9A8" w14:textId="3A35A454" w:rsidR="005C65BC" w:rsidRPr="000C0843" w:rsidRDefault="005C65BC" w:rsidP="000C0843">
      <w:pPr>
        <w:pStyle w:val="ListBullet3"/>
        <w:rPr>
          <w:rFonts w:ascii="CIDFont+F1" w:hAnsi="CIDFont+F1" w:cs="CIDFont+F1"/>
        </w:rPr>
      </w:pPr>
      <w:r w:rsidRPr="00CA6510">
        <w:t>The Department for Transport should review the relevant regulatory framework governing taxi and private hire accessibility, including possibilities for enacting some or all of the outstanding provisions in Part 12 of the Equality Act 2010 and considering whether additional regulations may be needed to address remaining gaps in protections.</w:t>
      </w:r>
    </w:p>
    <w:p w14:paraId="4DC38326" w14:textId="1BE0313F" w:rsidR="005C65BC" w:rsidRPr="000C0843" w:rsidRDefault="005C65BC" w:rsidP="000C0843">
      <w:pPr>
        <w:pStyle w:val="ListBullet3"/>
        <w:rPr>
          <w:rFonts w:ascii="CIDFont+F1" w:hAnsi="CIDFont+F1" w:cs="CIDFont+F1"/>
        </w:rPr>
      </w:pPr>
      <w:r w:rsidRPr="00CA6510">
        <w:t xml:space="preserve">The Department for Transport should undertake or commission research into the barriers </w:t>
      </w:r>
      <w:r w:rsidR="00FB3841">
        <w:t xml:space="preserve">that </w:t>
      </w:r>
      <w:r w:rsidRPr="00CA6510">
        <w:t>transport regulators continue to face in enforcing accessibility regulations, and take action to support regulators to improve enforcement.</w:t>
      </w:r>
    </w:p>
    <w:p w14:paraId="608B3380" w14:textId="428527C6" w:rsidR="005C65BC" w:rsidRDefault="005C65BC" w:rsidP="000C0843">
      <w:pPr>
        <w:pStyle w:val="ListBullet3"/>
        <w:rPr>
          <w:rFonts w:eastAsia="Times New Roman"/>
          <w:color w:val="1A1A1A"/>
          <w:lang w:eastAsia="en-GB"/>
        </w:rPr>
      </w:pPr>
      <w:r w:rsidRPr="00614719">
        <w:rPr>
          <w:rFonts w:eastAsia="Times New Roman"/>
          <w:color w:val="1A1A1A"/>
          <w:lang w:eastAsia="en-GB"/>
        </w:rPr>
        <w:lastRenderedPageBreak/>
        <w:t xml:space="preserve">The Department for Transport should embed </w:t>
      </w:r>
      <w:r>
        <w:rPr>
          <w:rFonts w:eastAsia="Times New Roman"/>
          <w:color w:val="1A1A1A"/>
          <w:lang w:eastAsia="en-GB"/>
        </w:rPr>
        <w:t xml:space="preserve">compliance with </w:t>
      </w:r>
      <w:r w:rsidRPr="00614719">
        <w:rPr>
          <w:rFonts w:eastAsia="Times New Roman"/>
          <w:color w:val="1A1A1A"/>
          <w:lang w:eastAsia="en-GB"/>
        </w:rPr>
        <w:t>the Public Sector Equality Duty and</w:t>
      </w:r>
      <w:r>
        <w:rPr>
          <w:rFonts w:eastAsia="Times New Roman"/>
          <w:color w:val="1A1A1A"/>
          <w:lang w:eastAsia="en-GB"/>
        </w:rPr>
        <w:t xml:space="preserve"> the wider equality and human rights framework</w:t>
      </w:r>
      <w:r w:rsidRPr="00614719">
        <w:rPr>
          <w:rFonts w:eastAsia="Times New Roman"/>
          <w:color w:val="1A1A1A"/>
          <w:lang w:eastAsia="en-GB"/>
        </w:rPr>
        <w:t xml:space="preserve"> in any new management and governance structures introduced following the</w:t>
      </w:r>
      <w:r w:rsidR="0077672D">
        <w:rPr>
          <w:rFonts w:eastAsia="Times New Roman"/>
          <w:color w:val="1A1A1A"/>
          <w:lang w:eastAsia="en-GB"/>
        </w:rPr>
        <w:t xml:space="preserve"> independent</w:t>
      </w:r>
      <w:r w:rsidRPr="00614719">
        <w:rPr>
          <w:rFonts w:eastAsia="Times New Roman"/>
          <w:color w:val="1A1A1A"/>
          <w:lang w:eastAsia="en-GB"/>
        </w:rPr>
        <w:t xml:space="preserve"> </w:t>
      </w:r>
      <w:bookmarkStart w:id="64" w:name="_Hlk66620076"/>
      <w:r w:rsidRPr="00614719">
        <w:rPr>
          <w:rFonts w:eastAsia="Times New Roman"/>
          <w:color w:val="1A1A1A"/>
          <w:lang w:eastAsia="en-GB"/>
        </w:rPr>
        <w:t>Williams Rail Review</w:t>
      </w:r>
      <w:bookmarkEnd w:id="64"/>
      <w:r w:rsidR="0077672D">
        <w:rPr>
          <w:rFonts w:eastAsia="Times New Roman"/>
          <w:color w:val="1A1A1A"/>
          <w:lang w:eastAsia="en-GB"/>
        </w:rPr>
        <w:t xml:space="preserve"> (set up in 2018 to look at the whole rail industry and delivery of passenger services)</w:t>
      </w:r>
      <w:r w:rsidRPr="00614719">
        <w:rPr>
          <w:rFonts w:eastAsia="Times New Roman"/>
          <w:color w:val="1A1A1A"/>
          <w:lang w:eastAsia="en-GB"/>
        </w:rPr>
        <w:t>,</w:t>
      </w:r>
      <w:r w:rsidR="00C471BA">
        <w:rPr>
          <w:rStyle w:val="FootnoteReference"/>
          <w:rFonts w:eastAsia="Times New Roman"/>
          <w:color w:val="1A1A1A"/>
          <w:lang w:eastAsia="en-GB"/>
        </w:rPr>
        <w:footnoteReference w:id="148"/>
      </w:r>
      <w:r w:rsidRPr="00614719">
        <w:rPr>
          <w:rFonts w:eastAsia="Times New Roman"/>
          <w:color w:val="1A1A1A"/>
          <w:lang w:eastAsia="en-GB"/>
        </w:rPr>
        <w:t xml:space="preserve"> to ensure that the rail network is fully accessible and supports disabled people’s equal participation in society.</w:t>
      </w:r>
    </w:p>
    <w:p w14:paraId="59A4A2D3" w14:textId="1A58E5A1" w:rsidR="005C65BC" w:rsidRDefault="005C65BC" w:rsidP="005C65BC">
      <w:pPr>
        <w:pStyle w:val="Heading1"/>
      </w:pPr>
      <w:bookmarkStart w:id="65" w:name="_Toc71213931"/>
      <w:r>
        <w:lastRenderedPageBreak/>
        <w:t>Conclusion</w:t>
      </w:r>
      <w:bookmarkEnd w:id="65"/>
    </w:p>
    <w:p w14:paraId="59E59FB8" w14:textId="7E92E2CD" w:rsidR="00D93D2B" w:rsidRDefault="00D93D2B" w:rsidP="006C1E0B">
      <w:pPr>
        <w:pStyle w:val="ListNumber"/>
        <w:numPr>
          <w:ilvl w:val="0"/>
          <w:numId w:val="0"/>
        </w:numPr>
        <w:rPr>
          <w:shd w:val="clear" w:color="auto" w:fill="FFFFFF"/>
        </w:rPr>
      </w:pPr>
      <w:r>
        <w:rPr>
          <w:shd w:val="clear" w:color="auto" w:fill="FFFFFF"/>
        </w:rPr>
        <w:t>T</w:t>
      </w:r>
      <w:r w:rsidRPr="00D93D2B">
        <w:rPr>
          <w:shd w:val="clear" w:color="auto" w:fill="FFFFFF"/>
        </w:rPr>
        <w:t xml:space="preserve">he right to independent living is integral to disabled people’s enjoyment of their full range of human rights, and their full and equal participation in society. Yet, many disabled people face persistent barriers to the full realisation of their right to live independently as part of the community. As this paper has demonstrated, there is evidence that disabled people in the UK are not provided with the same choice, control and opportunities as others, across many areas of life. </w:t>
      </w:r>
    </w:p>
    <w:p w14:paraId="66618466" w14:textId="77777777" w:rsidR="003731CD" w:rsidRDefault="003731CD" w:rsidP="006C1E0B">
      <w:pPr>
        <w:pStyle w:val="ListNumber"/>
        <w:numPr>
          <w:ilvl w:val="0"/>
          <w:numId w:val="0"/>
        </w:numPr>
        <w:ind w:left="567"/>
        <w:rPr>
          <w:shd w:val="clear" w:color="auto" w:fill="FFFFFF"/>
        </w:rPr>
      </w:pPr>
    </w:p>
    <w:p w14:paraId="6F60CE91" w14:textId="02CDFF74" w:rsidR="00D93D2B" w:rsidRDefault="00D93D2B" w:rsidP="006C1E0B">
      <w:pPr>
        <w:pStyle w:val="ListNumber"/>
        <w:numPr>
          <w:ilvl w:val="0"/>
          <w:numId w:val="0"/>
        </w:numPr>
        <w:rPr>
          <w:shd w:val="clear" w:color="auto" w:fill="FFFFFF"/>
        </w:rPr>
      </w:pPr>
      <w:r>
        <w:rPr>
          <w:shd w:val="clear" w:color="auto" w:fill="FFFFFF"/>
        </w:rPr>
        <w:t>H</w:t>
      </w:r>
      <w:r w:rsidRPr="00D93D2B">
        <w:rPr>
          <w:shd w:val="clear" w:color="auto" w:fill="FFFFFF"/>
        </w:rPr>
        <w:t xml:space="preserve">owever, a two-tiered society is not inevitable </w:t>
      </w:r>
      <w:r w:rsidR="0066166F">
        <w:rPr>
          <w:shd w:val="clear" w:color="auto" w:fill="FFFFFF"/>
        </w:rPr>
        <w:t>–</w:t>
      </w:r>
      <w:r w:rsidRPr="00D93D2B">
        <w:rPr>
          <w:shd w:val="clear" w:color="auto" w:fill="FFFFFF"/>
        </w:rPr>
        <w:t xml:space="preserve"> with the right support, safeguards and protections, disabled people can participate fully and equally in society</w:t>
      </w:r>
      <w:r>
        <w:rPr>
          <w:shd w:val="clear" w:color="auto" w:fill="FFFFFF"/>
        </w:rPr>
        <w:t>.</w:t>
      </w:r>
    </w:p>
    <w:p w14:paraId="00415D7C" w14:textId="77777777" w:rsidR="0065746C" w:rsidRDefault="0065746C" w:rsidP="006C1E0B">
      <w:pPr>
        <w:pStyle w:val="ListNumber"/>
        <w:numPr>
          <w:ilvl w:val="0"/>
          <w:numId w:val="0"/>
        </w:numPr>
        <w:rPr>
          <w:shd w:val="clear" w:color="auto" w:fill="FFFFFF"/>
        </w:rPr>
      </w:pPr>
    </w:p>
    <w:p w14:paraId="02099FDD" w14:textId="4EFF17C6" w:rsidR="00D93D2B" w:rsidRDefault="00D93D2B" w:rsidP="006C1E0B">
      <w:pPr>
        <w:pStyle w:val="ListNumber"/>
        <w:numPr>
          <w:ilvl w:val="0"/>
          <w:numId w:val="0"/>
        </w:numPr>
      </w:pPr>
      <w:r w:rsidRPr="006921F6">
        <w:t>We recommend that the right to independent living is incorporated into domestic law, and we have develop</w:t>
      </w:r>
      <w:r w:rsidR="0066166F">
        <w:t>ed</w:t>
      </w:r>
      <w:r w:rsidRPr="006921F6">
        <w:t xml:space="preserve"> a proposed legal model to achieve that, which is set out in the appendix to this paper. </w:t>
      </w:r>
      <w:r w:rsidRPr="00262F4F">
        <w:t>Proposals to strengthen the law on independent living must be fully resourced and take a life-course approach. Disabled people and their representative organisations should be fully involved in the development and implementation of any legislation.</w:t>
      </w:r>
    </w:p>
    <w:p w14:paraId="1B820279" w14:textId="77777777" w:rsidR="00D53038" w:rsidRDefault="00D53038" w:rsidP="006C1E0B">
      <w:pPr>
        <w:pStyle w:val="ListNumber"/>
        <w:numPr>
          <w:ilvl w:val="0"/>
          <w:numId w:val="0"/>
        </w:numPr>
      </w:pPr>
    </w:p>
    <w:p w14:paraId="509F86F8" w14:textId="333536BF" w:rsidR="00D93D2B" w:rsidRPr="006921F6" w:rsidRDefault="00D93D2B" w:rsidP="006C1E0B">
      <w:pPr>
        <w:pStyle w:val="ListNumber"/>
        <w:numPr>
          <w:ilvl w:val="0"/>
          <w:numId w:val="0"/>
        </w:numPr>
      </w:pPr>
      <w:r w:rsidRPr="006921F6">
        <w:t>Additionally, throughout this paper we have set out clear and practical solutions to strengthen the right to independent living, remove barriers and improve the lives of disabled people. Taken together</w:t>
      </w:r>
      <w:r w:rsidR="0066166F">
        <w:t>,</w:t>
      </w:r>
      <w:r w:rsidRPr="006921F6">
        <w:t xml:space="preserve"> these steps represent a blueprint for a society where disabled people are treated with equal dignity and value.</w:t>
      </w:r>
    </w:p>
    <w:p w14:paraId="0BC86886" w14:textId="225E9E2B" w:rsidR="00D93D2B" w:rsidRDefault="00D93D2B" w:rsidP="00D93D2B">
      <w:pPr>
        <w:pStyle w:val="Heading1"/>
      </w:pPr>
      <w:bookmarkStart w:id="66" w:name="_Toc71213932"/>
      <w:r>
        <w:lastRenderedPageBreak/>
        <w:t>Appendix</w:t>
      </w:r>
      <w:bookmarkEnd w:id="66"/>
    </w:p>
    <w:p w14:paraId="25ADF131" w14:textId="7152EC2E" w:rsidR="001E1BD1" w:rsidRDefault="001E1BD1" w:rsidP="006C1E0B">
      <w:pPr>
        <w:pStyle w:val="ListNumber"/>
        <w:numPr>
          <w:ilvl w:val="0"/>
          <w:numId w:val="0"/>
        </w:numPr>
      </w:pPr>
      <w:r w:rsidRPr="000A4071">
        <w:t>The UN Committee on the Rights of Persons with Disabilities has recommended that UN</w:t>
      </w:r>
      <w:r w:rsidR="00357CC1">
        <w:t xml:space="preserve"> </w:t>
      </w:r>
      <w:r w:rsidRPr="000A4071">
        <w:t>CRPD Article 19 should be incorporated into domestic law.</w:t>
      </w:r>
      <w:r w:rsidRPr="000A4071">
        <w:rPr>
          <w:rStyle w:val="FootnoteReference"/>
          <w:rFonts w:ascii="Arial" w:hAnsi="Arial" w:cs="Arial"/>
          <w:szCs w:val="24"/>
        </w:rPr>
        <w:footnoteReference w:id="149"/>
      </w:r>
      <w:r w:rsidRPr="000A4071">
        <w:t xml:space="preserve"> </w:t>
      </w:r>
      <w:r w:rsidR="00B60BE6">
        <w:t xml:space="preserve">We </w:t>
      </w:r>
      <w:r w:rsidRPr="000A4071">
        <w:t>agree with this recommendation</w:t>
      </w:r>
      <w:r w:rsidR="00357CC1">
        <w:t xml:space="preserve">. </w:t>
      </w:r>
      <w:r w:rsidR="006836FC">
        <w:t>We have previously recommended that the UK Government should incorporate the CRPD as a whole into domestic law so that individuals can effectively challenge rights violations and access redress.</w:t>
      </w:r>
      <w:r w:rsidR="006836FC">
        <w:rPr>
          <w:rStyle w:val="FootnoteReference"/>
          <w:rFonts w:ascii="Arial" w:hAnsi="Arial" w:cs="Arial"/>
          <w:szCs w:val="24"/>
        </w:rPr>
        <w:footnoteReference w:id="150"/>
      </w:r>
      <w:r w:rsidR="006836FC" w:rsidRPr="000A4071">
        <w:t xml:space="preserve"> </w:t>
      </w:r>
      <w:r w:rsidR="006836FC">
        <w:t xml:space="preserve">However, given </w:t>
      </w:r>
      <w:r w:rsidR="006836FC" w:rsidRPr="006836FC">
        <w:rPr>
          <w:szCs w:val="24"/>
        </w:rPr>
        <w:t xml:space="preserve">the centrality of the right to independent living, and concerns about regression on the realisation of this right, we also support specific, targeted measures </w:t>
      </w:r>
      <w:r w:rsidR="00EF2670">
        <w:t>to incorporate Article 19 rights into domestic law (in line with international requirements)</w:t>
      </w:r>
      <w:r w:rsidR="006836FC">
        <w:t>. We have</w:t>
      </w:r>
      <w:r w:rsidR="00EF2670">
        <w:t xml:space="preserve"> </w:t>
      </w:r>
      <w:r w:rsidRPr="000A4071">
        <w:t>developed proposals for legislative change to strengthen disabled people’s right to live independently and be included in the community in England.</w:t>
      </w:r>
      <w:r w:rsidRPr="000A4071">
        <w:rPr>
          <w:rStyle w:val="FootnoteReference"/>
          <w:rFonts w:ascii="Arial" w:hAnsi="Arial" w:cs="Arial"/>
          <w:szCs w:val="24"/>
        </w:rPr>
        <w:footnoteReference w:id="151"/>
      </w:r>
    </w:p>
    <w:p w14:paraId="609EC4AE" w14:textId="77777777" w:rsidR="00B5320B" w:rsidRDefault="00B5320B" w:rsidP="006C1E0B">
      <w:pPr>
        <w:pStyle w:val="ListNumber"/>
        <w:numPr>
          <w:ilvl w:val="0"/>
          <w:numId w:val="0"/>
        </w:numPr>
        <w:ind w:left="567"/>
      </w:pPr>
    </w:p>
    <w:p w14:paraId="0BFDF6B3" w14:textId="02F76432" w:rsidR="001E1BD1" w:rsidRPr="00D53038" w:rsidRDefault="001E1BD1" w:rsidP="006C1E0B">
      <w:pPr>
        <w:pStyle w:val="ListNumber"/>
        <w:numPr>
          <w:ilvl w:val="0"/>
          <w:numId w:val="0"/>
        </w:numPr>
        <w:rPr>
          <w:b/>
        </w:rPr>
      </w:pPr>
      <w:r w:rsidRPr="000A4071">
        <w:t>While this model could equally apply to Wales, we are yet to consult extensively in Wales or consider the equivalent Welsh legislation, so at present we have set this out as applicable to England, pending further discussions with stakeholders in Wales.</w:t>
      </w:r>
    </w:p>
    <w:p w14:paraId="59449705" w14:textId="77777777" w:rsidR="00D53038" w:rsidRDefault="00D53038" w:rsidP="006C1E0B">
      <w:pPr>
        <w:pStyle w:val="ListNumber"/>
        <w:numPr>
          <w:ilvl w:val="0"/>
          <w:numId w:val="0"/>
        </w:numPr>
        <w:ind w:left="567"/>
      </w:pPr>
    </w:p>
    <w:p w14:paraId="05C89DD7" w14:textId="45478766" w:rsidR="00D93D2B" w:rsidRPr="00BD17F0" w:rsidRDefault="001E1BD1" w:rsidP="00BD17F0">
      <w:pPr>
        <w:pStyle w:val="ListNumber"/>
        <w:numPr>
          <w:ilvl w:val="0"/>
          <w:numId w:val="0"/>
        </w:numPr>
      </w:pPr>
      <w:r w:rsidRPr="000A4071">
        <w:t>In developing the position set out in this appendix, we sought views from a range of stakeholders</w:t>
      </w:r>
      <w:r w:rsidR="00EF2670">
        <w:t>, including the Independent Living Strategy Group (which is made up of disabled people and allies from a range of organisations) and our own Disability Advisory Committee</w:t>
      </w:r>
      <w:r w:rsidRPr="000A4071">
        <w:t xml:space="preserve">. There was general recognition that there is no single way to incorporate the right to independent living into domestic law, and a mixture of provisions with duties and rights of varying strength, levels and breadth is likely to be required. </w:t>
      </w:r>
      <w:r w:rsidRPr="000A4071">
        <w:rPr>
          <w:iCs/>
          <w:color w:val="000000"/>
        </w:rPr>
        <w:t xml:space="preserve">Our view is that, while the key elements below would ideally be taken forward as a package, incremental progress on even one or two of these elements would be a positive step forward. </w:t>
      </w:r>
    </w:p>
    <w:p w14:paraId="10EB0EA1" w14:textId="6AEB91BB" w:rsidR="001E1BD1" w:rsidRDefault="001E1BD1" w:rsidP="001E1BD1">
      <w:pPr>
        <w:pStyle w:val="Heading2"/>
      </w:pPr>
      <w:bookmarkStart w:id="67" w:name="_Toc66343772"/>
      <w:bookmarkStart w:id="68" w:name="_Toc71213933"/>
      <w:r>
        <w:lastRenderedPageBreak/>
        <w:t>Elements of a proposed model for incorporating the right to independent living</w:t>
      </w:r>
      <w:bookmarkEnd w:id="67"/>
      <w:bookmarkEnd w:id="68"/>
    </w:p>
    <w:p w14:paraId="6A42998C" w14:textId="77777777" w:rsidR="00EF2670" w:rsidRPr="00641DCE" w:rsidRDefault="00EF2670" w:rsidP="006C1E0B"/>
    <w:p w14:paraId="72B78AED" w14:textId="71ED602B" w:rsidR="001E1BD1" w:rsidRPr="001E1BD1" w:rsidRDefault="001E1BD1" w:rsidP="006C1E0B">
      <w:pPr>
        <w:pStyle w:val="ListNumber"/>
        <w:numPr>
          <w:ilvl w:val="0"/>
          <w:numId w:val="0"/>
        </w:numPr>
      </w:pPr>
      <w:r w:rsidRPr="001E1BD1">
        <w:t>The following key elements, in combination, make up a potential model for incorporating the right to independent living into domestic law:</w:t>
      </w:r>
    </w:p>
    <w:p w14:paraId="5492F996" w14:textId="26ED0D5E" w:rsidR="001E1BD1" w:rsidRPr="008C1DD9" w:rsidRDefault="00A36BA4" w:rsidP="008C1DD9">
      <w:pPr>
        <w:pStyle w:val="ListBullet3"/>
        <w:numPr>
          <w:ilvl w:val="0"/>
          <w:numId w:val="66"/>
        </w:numPr>
      </w:pPr>
      <w:r>
        <w:t>a</w:t>
      </w:r>
      <w:r w:rsidR="001E1BD1" w:rsidRPr="001E1BD1">
        <w:t xml:space="preserve"> </w:t>
      </w:r>
      <w:bookmarkStart w:id="69" w:name="_Hlk66623525"/>
      <w:r w:rsidR="00433357">
        <w:t>P</w:t>
      </w:r>
      <w:r w:rsidR="001E1BD1" w:rsidRPr="001E1BD1">
        <w:t xml:space="preserve">ublic </w:t>
      </w:r>
      <w:r w:rsidR="00433357">
        <w:t>S</w:t>
      </w:r>
      <w:r w:rsidR="001E1BD1" w:rsidRPr="001E1BD1">
        <w:t xml:space="preserve">ector </w:t>
      </w:r>
      <w:r w:rsidR="00433357">
        <w:t>I</w:t>
      </w:r>
      <w:r w:rsidR="001E1BD1" w:rsidRPr="001E1BD1">
        <w:t xml:space="preserve">nclusion </w:t>
      </w:r>
      <w:r w:rsidR="00433357">
        <w:t>O</w:t>
      </w:r>
      <w:r w:rsidR="001E1BD1" w:rsidRPr="001E1BD1">
        <w:t>bjective</w:t>
      </w:r>
      <w:bookmarkEnd w:id="69"/>
    </w:p>
    <w:p w14:paraId="257DC1EA" w14:textId="56CD2E35" w:rsidR="001E1BD1" w:rsidRPr="008C1DD9" w:rsidRDefault="00A36BA4" w:rsidP="008C1DD9">
      <w:pPr>
        <w:pStyle w:val="ListBullet3"/>
        <w:numPr>
          <w:ilvl w:val="0"/>
          <w:numId w:val="66"/>
        </w:numPr>
      </w:pPr>
      <w:r>
        <w:t>a</w:t>
      </w:r>
      <w:r w:rsidR="001E1BD1" w:rsidRPr="001E1BD1">
        <w:t xml:space="preserve"> qualified presumption in favour of living in the community</w:t>
      </w:r>
    </w:p>
    <w:p w14:paraId="6485005A" w14:textId="18728F68" w:rsidR="001E1BD1" w:rsidRPr="008C1DD9" w:rsidRDefault="00A36BA4" w:rsidP="008C1DD9">
      <w:pPr>
        <w:pStyle w:val="ListBullet3"/>
        <w:numPr>
          <w:ilvl w:val="0"/>
          <w:numId w:val="66"/>
        </w:numPr>
      </w:pPr>
      <w:r>
        <w:t>t</w:t>
      </w:r>
      <w:r w:rsidR="001E1BD1" w:rsidRPr="001E1BD1">
        <w:t>he primacy of disabled people’s views</w:t>
      </w:r>
    </w:p>
    <w:p w14:paraId="5D6B6E6F" w14:textId="7DF44EB0" w:rsidR="001E1BD1" w:rsidRPr="008C1DD9" w:rsidRDefault="00A36BA4" w:rsidP="008C1DD9">
      <w:pPr>
        <w:pStyle w:val="ListBullet3"/>
        <w:numPr>
          <w:ilvl w:val="0"/>
          <w:numId w:val="66"/>
        </w:numPr>
      </w:pPr>
      <w:r>
        <w:t>a</w:t>
      </w:r>
      <w:r w:rsidR="001E1BD1" w:rsidRPr="001E1BD1">
        <w:t xml:space="preserve"> prohibition on the establishment of further institutional accommodation</w:t>
      </w:r>
    </w:p>
    <w:p w14:paraId="7D788E2F" w14:textId="207BA1D6" w:rsidR="001E1BD1" w:rsidRPr="008C1DD9" w:rsidRDefault="00A36BA4" w:rsidP="008C1DD9">
      <w:pPr>
        <w:pStyle w:val="ListBullet3"/>
        <w:numPr>
          <w:ilvl w:val="0"/>
          <w:numId w:val="66"/>
        </w:numPr>
      </w:pPr>
      <w:r>
        <w:t>a</w:t>
      </w:r>
      <w:r w:rsidR="001E1BD1" w:rsidRPr="001E1BD1">
        <w:t>ssessment of unmet need</w:t>
      </w:r>
      <w:r>
        <w:t>, and</w:t>
      </w:r>
    </w:p>
    <w:p w14:paraId="47F32218" w14:textId="41FC57CC" w:rsidR="001E1BD1" w:rsidRPr="008C1DD9" w:rsidRDefault="00A36BA4" w:rsidP="008C1DD9">
      <w:pPr>
        <w:pStyle w:val="ListBullet3"/>
        <w:numPr>
          <w:ilvl w:val="0"/>
          <w:numId w:val="66"/>
        </w:numPr>
      </w:pPr>
      <w:r>
        <w:t>e</w:t>
      </w:r>
      <w:r w:rsidR="001E1BD1" w:rsidRPr="001E1BD1">
        <w:t>nforcement and interpretation</w:t>
      </w:r>
      <w:r>
        <w:t>.</w:t>
      </w:r>
    </w:p>
    <w:p w14:paraId="3B5C43A7" w14:textId="52F9BDB9" w:rsidR="001E1BD1" w:rsidRPr="001E1BD1" w:rsidRDefault="001E1BD1" w:rsidP="000C0843">
      <w:pPr>
        <w:pStyle w:val="Heading3"/>
        <w:numPr>
          <w:ilvl w:val="0"/>
          <w:numId w:val="55"/>
        </w:numPr>
      </w:pPr>
      <w:r>
        <w:t xml:space="preserve">A </w:t>
      </w:r>
      <w:r w:rsidR="00433357">
        <w:t>P</w:t>
      </w:r>
      <w:r>
        <w:t xml:space="preserve">ublic </w:t>
      </w:r>
      <w:r w:rsidR="00433357">
        <w:t>S</w:t>
      </w:r>
      <w:r>
        <w:t xml:space="preserve">ector </w:t>
      </w:r>
      <w:r w:rsidR="00433357">
        <w:t>I</w:t>
      </w:r>
      <w:r>
        <w:t xml:space="preserve">nclusion </w:t>
      </w:r>
      <w:r w:rsidR="00433357">
        <w:t>O</w:t>
      </w:r>
      <w:r>
        <w:t>bjective (PSIO)</w:t>
      </w:r>
    </w:p>
    <w:p w14:paraId="4A8A345C" w14:textId="77777777" w:rsidR="00D53038" w:rsidRDefault="00D53038" w:rsidP="006C1E0B">
      <w:pPr>
        <w:pStyle w:val="ListNumber"/>
        <w:numPr>
          <w:ilvl w:val="0"/>
          <w:numId w:val="0"/>
        </w:numPr>
        <w:ind w:left="567"/>
      </w:pPr>
    </w:p>
    <w:p w14:paraId="622E4939" w14:textId="25D4F668" w:rsidR="001E1BD1" w:rsidRPr="000A4071" w:rsidRDefault="001E1BD1" w:rsidP="006C1E0B">
      <w:pPr>
        <w:pStyle w:val="ListNumber"/>
        <w:numPr>
          <w:ilvl w:val="0"/>
          <w:numId w:val="0"/>
        </w:numPr>
      </w:pPr>
      <w:r w:rsidRPr="000A4071">
        <w:t>As the overarching mechanism for giving domestic effect to Article 19</w:t>
      </w:r>
      <w:r w:rsidR="00A36BA4">
        <w:t>, we</w:t>
      </w:r>
      <w:r w:rsidRPr="000A4071">
        <w:t xml:space="preserve"> propose the creation of a statutory ‘</w:t>
      </w:r>
      <w:r w:rsidR="00433357">
        <w:t>P</w:t>
      </w:r>
      <w:r w:rsidRPr="000A4071">
        <w:t>ublic</w:t>
      </w:r>
      <w:r w:rsidR="00EF2670">
        <w:t xml:space="preserve"> </w:t>
      </w:r>
      <w:r w:rsidR="00433357">
        <w:t>S</w:t>
      </w:r>
      <w:r w:rsidRPr="000A4071">
        <w:t xml:space="preserve">ector </w:t>
      </w:r>
      <w:r w:rsidR="00433357">
        <w:t>I</w:t>
      </w:r>
      <w:r w:rsidRPr="000A4071">
        <w:t xml:space="preserve">nclusion </w:t>
      </w:r>
      <w:r w:rsidR="00433357">
        <w:t>O</w:t>
      </w:r>
      <w:r w:rsidRPr="000A4071">
        <w:t>bjective’ (PSIO).</w:t>
      </w:r>
    </w:p>
    <w:p w14:paraId="54EEDDC7" w14:textId="77777777" w:rsidR="00D53038" w:rsidRDefault="00D53038" w:rsidP="006C1E0B">
      <w:pPr>
        <w:pStyle w:val="ListNumber"/>
        <w:numPr>
          <w:ilvl w:val="0"/>
          <w:numId w:val="0"/>
        </w:numPr>
        <w:ind w:left="567"/>
      </w:pPr>
    </w:p>
    <w:p w14:paraId="5BFAC37D" w14:textId="34C8C899" w:rsidR="001E1BD1" w:rsidRPr="000A4071" w:rsidRDefault="001E1BD1" w:rsidP="006C1E0B">
      <w:pPr>
        <w:pStyle w:val="ListNumber"/>
        <w:numPr>
          <w:ilvl w:val="0"/>
          <w:numId w:val="0"/>
        </w:numPr>
      </w:pPr>
      <w:r w:rsidRPr="000A4071">
        <w:t xml:space="preserve">A great many public authorities have functions </w:t>
      </w:r>
      <w:r w:rsidR="00C15D5B">
        <w:t xml:space="preserve">that </w:t>
      </w:r>
      <w:r w:rsidRPr="000A4071">
        <w:t xml:space="preserve">can be carried out to further Article 19 in some way. These include local authorities delivering social care and </w:t>
      </w:r>
      <w:r w:rsidR="00C15D5B">
        <w:t>c</w:t>
      </w:r>
      <w:r w:rsidRPr="000A4071">
        <w:t xml:space="preserve">linical </w:t>
      </w:r>
      <w:r w:rsidR="00C15D5B">
        <w:t>c</w:t>
      </w:r>
      <w:r w:rsidRPr="000A4071">
        <w:t xml:space="preserve">ommissioning </w:t>
      </w:r>
      <w:r w:rsidR="00C15D5B">
        <w:t>g</w:t>
      </w:r>
      <w:r w:rsidRPr="000A4071">
        <w:t>roups (CCGs) delivering NHS Continuing Healthcare, but also housing assoc</w:t>
      </w:r>
      <w:r w:rsidR="00A36BA4">
        <w:t>i</w:t>
      </w:r>
      <w:r w:rsidRPr="000A4071">
        <w:t xml:space="preserve">ations providing social housing, central government and local bodies providing public transport, planning authorities regulating public spaces and many more. </w:t>
      </w:r>
    </w:p>
    <w:p w14:paraId="061A47CF" w14:textId="77777777" w:rsidR="00D53038" w:rsidRDefault="00D53038" w:rsidP="006C1E0B">
      <w:pPr>
        <w:pStyle w:val="ListNumber"/>
        <w:numPr>
          <w:ilvl w:val="0"/>
          <w:numId w:val="0"/>
        </w:numPr>
        <w:ind w:left="567"/>
      </w:pPr>
    </w:p>
    <w:p w14:paraId="00D1B386" w14:textId="15C4532D" w:rsidR="001E1BD1" w:rsidRPr="000A4071" w:rsidRDefault="001E1BD1" w:rsidP="006C1E0B">
      <w:pPr>
        <w:pStyle w:val="ListNumber"/>
        <w:numPr>
          <w:ilvl w:val="0"/>
          <w:numId w:val="0"/>
        </w:numPr>
      </w:pPr>
      <w:r w:rsidRPr="000A4071">
        <w:t xml:space="preserve">With that in mind, the PSIO would take the form of an overall duty on all listed public authorities to act with the objective of meeting the requirements of Article 19. </w:t>
      </w:r>
      <w:r w:rsidR="006E0E05" w:rsidRPr="006E0E05">
        <w:t>A list of relevant public authorities subject to the PSIO would need to be developed and would operate in a similar way to the list in Schedule 19 to the Equality Act 2010</w:t>
      </w:r>
      <w:r w:rsidR="006E0E05">
        <w:t>.</w:t>
      </w:r>
    </w:p>
    <w:p w14:paraId="17C98E69" w14:textId="77777777" w:rsidR="00D53038" w:rsidRDefault="00D53038" w:rsidP="006C1E0B">
      <w:pPr>
        <w:pStyle w:val="ListNumber"/>
        <w:numPr>
          <w:ilvl w:val="0"/>
          <w:numId w:val="0"/>
        </w:numPr>
        <w:ind w:left="567"/>
      </w:pPr>
    </w:p>
    <w:p w14:paraId="5633064F" w14:textId="4B34D3E4" w:rsidR="001E1BD1" w:rsidRPr="000A4071" w:rsidRDefault="001E1BD1" w:rsidP="006C1E0B">
      <w:pPr>
        <w:pStyle w:val="ListNumber"/>
        <w:numPr>
          <w:ilvl w:val="0"/>
          <w:numId w:val="0"/>
        </w:numPr>
      </w:pPr>
      <w:r w:rsidRPr="000A4071">
        <w:t>Th</w:t>
      </w:r>
      <w:r w:rsidR="00D1240D">
        <w:t>is</w:t>
      </w:r>
      <w:r w:rsidR="006E0E05">
        <w:t xml:space="preserve"> creation of an overall duty</w:t>
      </w:r>
      <w:r w:rsidR="00D1240D">
        <w:t xml:space="preserve"> would have</w:t>
      </w:r>
      <w:r w:rsidRPr="000A4071">
        <w:t xml:space="preserve"> the advantage of capturing all </w:t>
      </w:r>
      <w:r w:rsidR="00D1240D">
        <w:t xml:space="preserve">the </w:t>
      </w:r>
      <w:r w:rsidRPr="000A4071">
        <w:t xml:space="preserve">elements of Article 19 in some way, including those aspects </w:t>
      </w:r>
      <w:r w:rsidR="00D1240D">
        <w:t xml:space="preserve">that </w:t>
      </w:r>
      <w:r w:rsidRPr="000A4071">
        <w:t xml:space="preserve">are not sufficiently specific to form the basis of rights enforceable by an individual. It would be enforceable through judicial review. </w:t>
      </w:r>
    </w:p>
    <w:p w14:paraId="495F19F7" w14:textId="77777777" w:rsidR="00D53038" w:rsidRDefault="00D53038" w:rsidP="006C1E0B">
      <w:pPr>
        <w:pStyle w:val="ListNumber"/>
        <w:numPr>
          <w:ilvl w:val="0"/>
          <w:numId w:val="0"/>
        </w:numPr>
        <w:ind w:left="567"/>
      </w:pPr>
    </w:p>
    <w:p w14:paraId="5B2D1722" w14:textId="1816AFA4" w:rsidR="00132146" w:rsidRDefault="001E1BD1" w:rsidP="006C1E0B">
      <w:pPr>
        <w:pStyle w:val="ListNumber"/>
        <w:numPr>
          <w:ilvl w:val="0"/>
          <w:numId w:val="0"/>
        </w:numPr>
      </w:pPr>
      <w:r w:rsidRPr="000A4071">
        <w:t>Th</w:t>
      </w:r>
      <w:r w:rsidR="00D1240D">
        <w:t>e</w:t>
      </w:r>
      <w:r w:rsidRPr="000A4071">
        <w:t xml:space="preserve"> PSIO </w:t>
      </w:r>
      <w:r w:rsidR="00D1240D">
        <w:t>would</w:t>
      </w:r>
      <w:r w:rsidRPr="000A4071">
        <w:t xml:space="preserve"> not directly make compliance with Article 19 compulsory. </w:t>
      </w:r>
      <w:r w:rsidR="00D1240D">
        <w:t>But although c</w:t>
      </w:r>
      <w:r w:rsidRPr="000A4071">
        <w:t>onsiderations such as cost could still be used as reasons not to do what Article 19 might otherwise require, public authorities would need to confront and explain the impact of any failure to give effect to Article 19</w:t>
      </w:r>
      <w:r w:rsidR="00D1240D">
        <w:t>,</w:t>
      </w:r>
      <w:r w:rsidRPr="000A4071">
        <w:t xml:space="preserve"> and </w:t>
      </w:r>
      <w:r w:rsidR="006E0E05">
        <w:t xml:space="preserve">to </w:t>
      </w:r>
      <w:r w:rsidRPr="000A4071">
        <w:t>explain their reasoning for such action.</w:t>
      </w:r>
      <w:r w:rsidR="00132146">
        <w:t xml:space="preserve"> </w:t>
      </w:r>
    </w:p>
    <w:p w14:paraId="27457BAD" w14:textId="1A872D36" w:rsidR="00132146" w:rsidRDefault="00132146" w:rsidP="000C0843">
      <w:pPr>
        <w:pStyle w:val="Heading4"/>
      </w:pPr>
      <w:r w:rsidRPr="00132146">
        <w:lastRenderedPageBreak/>
        <w:t>P</w:t>
      </w:r>
      <w:r w:rsidR="001E7024">
        <w:t>roposed</w:t>
      </w:r>
      <w:r w:rsidRPr="00132146">
        <w:t xml:space="preserve"> formulation of a </w:t>
      </w:r>
      <w:r w:rsidR="00433357">
        <w:t>P</w:t>
      </w:r>
      <w:r w:rsidRPr="00132146">
        <w:t>u</w:t>
      </w:r>
      <w:r w:rsidR="000C0843">
        <w:t>blic</w:t>
      </w:r>
      <w:r w:rsidR="006E0E05">
        <w:t xml:space="preserve"> </w:t>
      </w:r>
      <w:r w:rsidR="00433357">
        <w:t>S</w:t>
      </w:r>
      <w:r w:rsidR="000C0843">
        <w:t xml:space="preserve">ector </w:t>
      </w:r>
      <w:r w:rsidR="00433357">
        <w:t>I</w:t>
      </w:r>
      <w:r w:rsidR="000C0843">
        <w:t xml:space="preserve">nclusion </w:t>
      </w:r>
      <w:r w:rsidR="00433357">
        <w:t>O</w:t>
      </w:r>
      <w:r w:rsidR="000C0843">
        <w:t>bjective</w:t>
      </w:r>
      <w:r w:rsidR="003470B8">
        <w:t>:</w:t>
      </w:r>
    </w:p>
    <w:p w14:paraId="00A95026" w14:textId="77777777" w:rsidR="00D53038" w:rsidRDefault="00D53038" w:rsidP="006C1E0B">
      <w:pPr>
        <w:pStyle w:val="ListNumber"/>
        <w:numPr>
          <w:ilvl w:val="0"/>
          <w:numId w:val="0"/>
        </w:numPr>
        <w:ind w:left="567"/>
      </w:pPr>
    </w:p>
    <w:p w14:paraId="70AD7D02" w14:textId="4AAA41C0" w:rsidR="00132146" w:rsidRDefault="00DC23A2" w:rsidP="006C1E0B">
      <w:pPr>
        <w:pStyle w:val="ListNumber"/>
        <w:numPr>
          <w:ilvl w:val="0"/>
          <w:numId w:val="0"/>
        </w:numPr>
      </w:pPr>
      <w:r w:rsidRPr="00132146">
        <w:t>In exercising its functions, a public authority must act with the objective of meeting the requirements of Article 19 of the United Nations Convention on the Rights of Persons with Disabilities.</w:t>
      </w:r>
    </w:p>
    <w:p w14:paraId="3668F8D4" w14:textId="77777777" w:rsidR="00132146" w:rsidRDefault="00132146" w:rsidP="00132146">
      <w:pPr>
        <w:pStyle w:val="ListParagraph"/>
      </w:pPr>
    </w:p>
    <w:p w14:paraId="4B62CA7D" w14:textId="54BFBD50" w:rsidR="00132146" w:rsidRDefault="00DC23A2" w:rsidP="006C1E0B">
      <w:pPr>
        <w:pStyle w:val="ListNumber"/>
        <w:numPr>
          <w:ilvl w:val="0"/>
          <w:numId w:val="0"/>
        </w:numPr>
        <w:ind w:left="567" w:hanging="567"/>
      </w:pPr>
      <w:r w:rsidRPr="00132146">
        <w:t>A public authority must, in particular, act with the objective of:</w:t>
      </w:r>
      <w:r w:rsidR="00132146">
        <w:t xml:space="preserve"> </w:t>
      </w:r>
    </w:p>
    <w:p w14:paraId="27FEEE7C" w14:textId="3C3AF175" w:rsidR="00132146" w:rsidRPr="000C0843" w:rsidRDefault="00DC23A2" w:rsidP="000C0843">
      <w:pPr>
        <w:pStyle w:val="ListBullet3"/>
        <w:rPr>
          <w:b/>
        </w:rPr>
      </w:pPr>
      <w:r w:rsidRPr="00132146">
        <w:t>securing that all disabled people are enabled to live in the community with choices equal to others</w:t>
      </w:r>
      <w:r w:rsidR="00D1240D">
        <w:t>,</w:t>
      </w:r>
      <w:r w:rsidRPr="00132146">
        <w:t xml:space="preserve"> unless that is incompatible with the wishes of the particular person in question</w:t>
      </w:r>
    </w:p>
    <w:p w14:paraId="04B97B2D" w14:textId="3C4DF8C9" w:rsidR="00132146" w:rsidRPr="000C0843" w:rsidRDefault="00DC23A2" w:rsidP="000C0843">
      <w:pPr>
        <w:pStyle w:val="ListBullet3"/>
        <w:rPr>
          <w:b/>
        </w:rPr>
      </w:pPr>
      <w:r w:rsidRPr="00132146">
        <w:t xml:space="preserve">offering provision enabling full inclusion in the community for disabled people </w:t>
      </w:r>
    </w:p>
    <w:p w14:paraId="60B02A11" w14:textId="164E0459" w:rsidR="00DC23A2" w:rsidRPr="000C0843" w:rsidRDefault="00DC23A2" w:rsidP="000C0843">
      <w:pPr>
        <w:pStyle w:val="ListBullet3"/>
        <w:rPr>
          <w:b/>
        </w:rPr>
      </w:pPr>
      <w:r w:rsidRPr="00132146">
        <w:t xml:space="preserve">enabling disabled people to choose where they live </w:t>
      </w:r>
    </w:p>
    <w:p w14:paraId="614AB3ED" w14:textId="3BF06F0A" w:rsidR="00DC23A2" w:rsidRPr="000C0843" w:rsidRDefault="00DC23A2" w:rsidP="000C0843">
      <w:pPr>
        <w:pStyle w:val="ListBullet3"/>
        <w:rPr>
          <w:b/>
        </w:rPr>
      </w:pPr>
      <w:r>
        <w:t xml:space="preserve">enabling disabled people to choose with whom to live, and </w:t>
      </w:r>
    </w:p>
    <w:p w14:paraId="749AC543" w14:textId="10565828" w:rsidR="001A22CD" w:rsidRPr="000C0843" w:rsidRDefault="00DC23A2" w:rsidP="000C0843">
      <w:pPr>
        <w:pStyle w:val="ListBullet3"/>
        <w:rPr>
          <w:b/>
        </w:rPr>
      </w:pPr>
      <w:r>
        <w:t>ensuring that disabled people are not obliged to live in a particular living arrangement.</w:t>
      </w:r>
    </w:p>
    <w:p w14:paraId="30A93B8F" w14:textId="67CDCC16" w:rsidR="00DC23A2" w:rsidRPr="00DC23A2" w:rsidRDefault="00DC23A2" w:rsidP="00DC23A2">
      <w:pPr>
        <w:pStyle w:val="Heading3"/>
      </w:pPr>
      <w:r>
        <w:t xml:space="preserve">b) </w:t>
      </w:r>
      <w:bookmarkStart w:id="70" w:name="_Hlk66629958"/>
      <w:r>
        <w:t>A</w:t>
      </w:r>
      <w:r w:rsidRPr="00DC23A2">
        <w:t xml:space="preserve"> qualified presumption in favour of living in the community</w:t>
      </w:r>
      <w:bookmarkEnd w:id="70"/>
    </w:p>
    <w:p w14:paraId="0A7BAEE2" w14:textId="77777777" w:rsidR="00D53038" w:rsidRDefault="00D53038" w:rsidP="006C1E0B">
      <w:pPr>
        <w:pStyle w:val="ListNumber"/>
        <w:numPr>
          <w:ilvl w:val="0"/>
          <w:numId w:val="0"/>
        </w:numPr>
        <w:ind w:left="567"/>
        <w:rPr>
          <w:lang w:val="de-DE"/>
        </w:rPr>
      </w:pPr>
    </w:p>
    <w:p w14:paraId="1B4215A7" w14:textId="156C17C3" w:rsidR="00DC23A2" w:rsidRPr="00DC23A2" w:rsidRDefault="00DC23A2" w:rsidP="006C1E0B">
      <w:pPr>
        <w:pStyle w:val="ListNumber"/>
        <w:numPr>
          <w:ilvl w:val="0"/>
          <w:numId w:val="0"/>
        </w:numPr>
        <w:rPr>
          <w:lang w:val="de-DE"/>
        </w:rPr>
      </w:pPr>
      <w:r w:rsidRPr="00DC23A2">
        <w:rPr>
          <w:lang w:val="de-DE"/>
        </w:rPr>
        <w:t xml:space="preserve">As well as that overarching obligation in relation to Article 19 as a whole, </w:t>
      </w:r>
      <w:r w:rsidR="000E2977">
        <w:rPr>
          <w:lang w:val="de-DE"/>
        </w:rPr>
        <w:t xml:space="preserve">we </w:t>
      </w:r>
      <w:r w:rsidRPr="00DC23A2">
        <w:rPr>
          <w:lang w:val="de-DE"/>
        </w:rPr>
        <w:t xml:space="preserve">also consider it necessary to give a harder legal edge to those core elements of Article 19 </w:t>
      </w:r>
      <w:r w:rsidR="000E2977">
        <w:rPr>
          <w:lang w:val="de-DE"/>
        </w:rPr>
        <w:t xml:space="preserve">that </w:t>
      </w:r>
      <w:r w:rsidRPr="00DC23A2">
        <w:rPr>
          <w:lang w:val="de-DE"/>
        </w:rPr>
        <w:t>are framed in more specific terms.</w:t>
      </w:r>
    </w:p>
    <w:p w14:paraId="72CA5ACD" w14:textId="77777777" w:rsidR="00D53038" w:rsidRDefault="00D53038" w:rsidP="006C1E0B">
      <w:pPr>
        <w:pStyle w:val="ListNumber"/>
        <w:numPr>
          <w:ilvl w:val="0"/>
          <w:numId w:val="0"/>
        </w:numPr>
        <w:ind w:left="567"/>
        <w:rPr>
          <w:lang w:val="de-DE"/>
        </w:rPr>
      </w:pPr>
    </w:p>
    <w:p w14:paraId="51456BED" w14:textId="7B9DF592" w:rsidR="00DC23A2" w:rsidRPr="00DC23A2" w:rsidRDefault="00DC23A2" w:rsidP="006C1E0B">
      <w:pPr>
        <w:pStyle w:val="ListNumber"/>
        <w:numPr>
          <w:ilvl w:val="0"/>
          <w:numId w:val="0"/>
        </w:numPr>
        <w:rPr>
          <w:lang w:val="de-DE"/>
        </w:rPr>
      </w:pPr>
      <w:r w:rsidRPr="00DC23A2">
        <w:rPr>
          <w:lang w:val="de-DE"/>
        </w:rPr>
        <w:t xml:space="preserve">At the heart of Article 19 are particular obligations around living in the community. To give specific effect to those particular obligations, </w:t>
      </w:r>
      <w:r w:rsidR="000E2977">
        <w:rPr>
          <w:lang w:val="de-DE"/>
        </w:rPr>
        <w:t xml:space="preserve">we </w:t>
      </w:r>
      <w:r w:rsidRPr="00DC23A2">
        <w:rPr>
          <w:lang w:val="de-DE"/>
        </w:rPr>
        <w:t xml:space="preserve">propose two elements of a qualified presumption in favour of living in the community: </w:t>
      </w:r>
    </w:p>
    <w:p w14:paraId="6F4A4F24" w14:textId="3D74533D" w:rsidR="00DC23A2" w:rsidRPr="00DC23A2" w:rsidRDefault="000E2977" w:rsidP="000C0843">
      <w:pPr>
        <w:pStyle w:val="ListBullet3"/>
        <w:rPr>
          <w:lang w:val="de-DE"/>
        </w:rPr>
      </w:pPr>
      <w:r>
        <w:rPr>
          <w:lang w:val="de-DE"/>
        </w:rPr>
        <w:t>a</w:t>
      </w:r>
      <w:r w:rsidR="00DC23A2" w:rsidRPr="00DC23A2">
        <w:rPr>
          <w:lang w:val="de-DE"/>
        </w:rPr>
        <w:t xml:space="preserve"> presumption (including on local authorities, CCGs, and other public bodies discharging relevant functions, such as those relating to housing) of provision of accommodation in the community, qualified only by the wishes of the disabled person (leaving it open for a person to seek institutional accommodation if that is what they genuinely want)</w:t>
      </w:r>
      <w:r>
        <w:rPr>
          <w:lang w:val="de-DE"/>
        </w:rPr>
        <w:t>, and</w:t>
      </w:r>
    </w:p>
    <w:p w14:paraId="5A0218D1" w14:textId="4503DB0B" w:rsidR="00DC23A2" w:rsidRPr="000C0843" w:rsidRDefault="000E2977" w:rsidP="000C0843">
      <w:pPr>
        <w:pStyle w:val="ListBullet3"/>
        <w:rPr>
          <w:lang w:val="de-DE"/>
        </w:rPr>
      </w:pPr>
      <w:r>
        <w:rPr>
          <w:lang w:val="de-DE"/>
        </w:rPr>
        <w:t>a</w:t>
      </w:r>
      <w:r w:rsidR="00DC23A2" w:rsidRPr="00DC23A2">
        <w:rPr>
          <w:lang w:val="de-DE"/>
        </w:rPr>
        <w:t xml:space="preserve"> presumption to secure care and support to enable community or home living, again only whe</w:t>
      </w:r>
      <w:r>
        <w:rPr>
          <w:lang w:val="de-DE"/>
        </w:rPr>
        <w:t>n</w:t>
      </w:r>
      <w:r w:rsidR="00DC23A2" w:rsidRPr="00DC23A2">
        <w:rPr>
          <w:lang w:val="de-DE"/>
        </w:rPr>
        <w:t xml:space="preserve"> this is </w:t>
      </w:r>
      <w:r w:rsidR="000C0843">
        <w:rPr>
          <w:lang w:val="de-DE"/>
        </w:rPr>
        <w:t>in line with a person’s wishes.</w:t>
      </w:r>
    </w:p>
    <w:p w14:paraId="504F67D5" w14:textId="005C73B8" w:rsidR="00132146" w:rsidRDefault="00DC23A2" w:rsidP="006C1E0B">
      <w:pPr>
        <w:pStyle w:val="ListNumber"/>
        <w:numPr>
          <w:ilvl w:val="0"/>
          <w:numId w:val="0"/>
        </w:numPr>
        <w:rPr>
          <w:lang w:val="de-DE"/>
        </w:rPr>
      </w:pPr>
      <w:r w:rsidRPr="00DC23A2">
        <w:rPr>
          <w:lang w:val="de-DE"/>
        </w:rPr>
        <w:lastRenderedPageBreak/>
        <w:t>Aspects of the right to independent living are subject to the concept of progressive realisation</w:t>
      </w:r>
      <w:r w:rsidR="00284884">
        <w:rPr>
          <w:lang w:val="de-DE"/>
        </w:rPr>
        <w:t>. This</w:t>
      </w:r>
      <w:r w:rsidRPr="00DC23A2">
        <w:rPr>
          <w:lang w:val="de-DE"/>
        </w:rPr>
        <w:t xml:space="preserve"> requires </w:t>
      </w:r>
      <w:r w:rsidR="000E2977">
        <w:rPr>
          <w:lang w:val="de-DE"/>
        </w:rPr>
        <w:t>S</w:t>
      </w:r>
      <w:r w:rsidRPr="00DC23A2">
        <w:rPr>
          <w:lang w:val="de-DE"/>
        </w:rPr>
        <w:t xml:space="preserve">tates </w:t>
      </w:r>
      <w:r w:rsidR="000E2977">
        <w:rPr>
          <w:lang w:val="de-DE"/>
        </w:rPr>
        <w:t>P</w:t>
      </w:r>
      <w:r w:rsidRPr="00DC23A2">
        <w:rPr>
          <w:lang w:val="de-DE"/>
        </w:rPr>
        <w:t>arties to take ‘deliberate, concrete, targeted’ steps’</w:t>
      </w:r>
      <w:r w:rsidR="00284884">
        <w:rPr>
          <w:lang w:val="de-DE"/>
        </w:rPr>
        <w:t>,</w:t>
      </w:r>
      <w:r w:rsidRPr="00DC23A2">
        <w:rPr>
          <w:lang w:val="de-DE"/>
        </w:rPr>
        <w:t xml:space="preserve"> using ‘all appropriate means’ to the maximum of the resources available in the </w:t>
      </w:r>
      <w:r w:rsidR="00284884">
        <w:rPr>
          <w:lang w:val="de-DE"/>
        </w:rPr>
        <w:t>S</w:t>
      </w:r>
      <w:r w:rsidRPr="00DC23A2">
        <w:rPr>
          <w:lang w:val="de-DE"/>
        </w:rPr>
        <w:t>tate, to meet the rights, and to commence these steps ‘immediately or w</w:t>
      </w:r>
      <w:r w:rsidR="00284884">
        <w:rPr>
          <w:lang w:val="de-DE"/>
        </w:rPr>
        <w:t>i</w:t>
      </w:r>
      <w:r w:rsidRPr="00DC23A2">
        <w:rPr>
          <w:lang w:val="de-DE"/>
        </w:rPr>
        <w:t>thin a reasonably short period of time’.</w:t>
      </w:r>
      <w:r w:rsidRPr="00DC23A2">
        <w:rPr>
          <w:vertAlign w:val="superscript"/>
          <w:lang w:val="de-DE"/>
        </w:rPr>
        <w:footnoteReference w:id="152"/>
      </w:r>
      <w:r w:rsidRPr="00DC23A2">
        <w:rPr>
          <w:lang w:val="de-DE"/>
        </w:rPr>
        <w:t xml:space="preserve"> As set out in relevant UN guidelines, reference to the availability of resources ‘reflects a recognition that the reali</w:t>
      </w:r>
      <w:r w:rsidR="00433357">
        <w:rPr>
          <w:lang w:val="de-DE"/>
        </w:rPr>
        <w:t>s</w:t>
      </w:r>
      <w:r w:rsidRPr="00DC23A2">
        <w:rPr>
          <w:lang w:val="de-DE"/>
        </w:rPr>
        <w:t>ation of these rights can be hampered by a lack of resources and can be achieved only over a period of time’.</w:t>
      </w:r>
      <w:r w:rsidRPr="00DC23A2">
        <w:rPr>
          <w:vertAlign w:val="superscript"/>
          <w:lang w:val="de-DE"/>
        </w:rPr>
        <w:footnoteReference w:id="153"/>
      </w:r>
      <w:r w:rsidRPr="00DC23A2">
        <w:rPr>
          <w:lang w:val="de-DE"/>
        </w:rPr>
        <w:t xml:space="preserve"> </w:t>
      </w:r>
      <w:r w:rsidR="001D2AD0">
        <w:rPr>
          <w:lang w:val="de-DE"/>
        </w:rPr>
        <w:t xml:space="preserve">We </w:t>
      </w:r>
      <w:r w:rsidRPr="00DC23A2">
        <w:rPr>
          <w:lang w:val="de-DE"/>
        </w:rPr>
        <w:t xml:space="preserve">propose that the concept of progressive realisation could be reflected in commencement provisions. For example, commencement could be linked to a requirement on the Secretary of State to publish a plan to meet unmet need in relation to care and support (see below). </w:t>
      </w:r>
      <w:r w:rsidR="00132146">
        <w:rPr>
          <w:lang w:val="de-DE"/>
        </w:rPr>
        <w:t xml:space="preserve"> </w:t>
      </w:r>
    </w:p>
    <w:p w14:paraId="0AD0FBEC" w14:textId="77777777" w:rsidR="00D53038" w:rsidRPr="006C1E0B" w:rsidRDefault="00D53038" w:rsidP="006C1E0B">
      <w:pPr>
        <w:pStyle w:val="ListNumber"/>
        <w:numPr>
          <w:ilvl w:val="0"/>
          <w:numId w:val="0"/>
        </w:numPr>
        <w:ind w:left="567"/>
        <w:rPr>
          <w:lang w:val="de-DE"/>
        </w:rPr>
      </w:pPr>
    </w:p>
    <w:p w14:paraId="3ABEEF21" w14:textId="50D4B282" w:rsidR="00132146" w:rsidRDefault="00DC23A2" w:rsidP="006C1E0B">
      <w:pPr>
        <w:pStyle w:val="ListNumber"/>
        <w:numPr>
          <w:ilvl w:val="0"/>
          <w:numId w:val="0"/>
        </w:numPr>
        <w:rPr>
          <w:lang w:val="de-DE"/>
        </w:rPr>
      </w:pPr>
      <w:r>
        <w:t>A public authority exercising functions relating to the provision of accommodation to a disabled person must secure that the person is accommodated in the community unless that is incompatible</w:t>
      </w:r>
      <w:r w:rsidR="00132146">
        <w:t xml:space="preserve"> with the wishes of the person.</w:t>
      </w:r>
    </w:p>
    <w:p w14:paraId="0895AF67" w14:textId="77777777" w:rsidR="00D53038" w:rsidRPr="006C1E0B" w:rsidRDefault="00D53038" w:rsidP="006C1E0B">
      <w:pPr>
        <w:pStyle w:val="ListNumber"/>
        <w:numPr>
          <w:ilvl w:val="0"/>
          <w:numId w:val="0"/>
        </w:numPr>
        <w:ind w:left="567"/>
        <w:rPr>
          <w:lang w:val="de-DE"/>
        </w:rPr>
      </w:pPr>
    </w:p>
    <w:p w14:paraId="76C51594" w14:textId="0C105CF0" w:rsidR="00DC23A2" w:rsidRPr="00132146" w:rsidRDefault="00DC23A2" w:rsidP="006C1E0B">
      <w:pPr>
        <w:pStyle w:val="ListNumber"/>
        <w:numPr>
          <w:ilvl w:val="0"/>
          <w:numId w:val="0"/>
        </w:numPr>
        <w:rPr>
          <w:lang w:val="de-DE"/>
        </w:rPr>
      </w:pPr>
      <w:r>
        <w:t>A public authority exercising functions relating to the provision of care or other support to a disab</w:t>
      </w:r>
      <w:r w:rsidR="00132146">
        <w:t>l</w:t>
      </w:r>
      <w:r>
        <w:t>ed person must discharge those functions, including provid</w:t>
      </w:r>
      <w:r w:rsidR="001D2AD0">
        <w:t>ing</w:t>
      </w:r>
      <w:r>
        <w:t xml:space="preserve"> personal assistance, to enable the</w:t>
      </w:r>
      <w:r w:rsidR="001D2AD0">
        <w:t xml:space="preserve"> disabled person</w:t>
      </w:r>
      <w:r>
        <w:t xml:space="preserve"> to live in whichever of the following the</w:t>
      </w:r>
      <w:r w:rsidR="001D2AD0">
        <w:t>y</w:t>
      </w:r>
      <w:r>
        <w:t xml:space="preserve"> prefer:</w:t>
      </w:r>
    </w:p>
    <w:p w14:paraId="01D9C6BB" w14:textId="6ACA0C79" w:rsidR="00DC23A2" w:rsidRDefault="00DC23A2" w:rsidP="000C0843">
      <w:pPr>
        <w:pStyle w:val="ListBullet3"/>
      </w:pPr>
      <w:r>
        <w:t>any accommodation provided for them by virtue of the provisions above on accommodation in the community</w:t>
      </w:r>
      <w:r w:rsidR="001D2AD0">
        <w:t>,</w:t>
      </w:r>
      <w:r>
        <w:t xml:space="preserve"> or</w:t>
      </w:r>
    </w:p>
    <w:p w14:paraId="454DE5D7" w14:textId="06A99960" w:rsidR="001E1BD1" w:rsidRDefault="00DC23A2" w:rsidP="000C0843">
      <w:pPr>
        <w:pStyle w:val="ListBullet3"/>
      </w:pPr>
      <w:r>
        <w:t>the</w:t>
      </w:r>
      <w:r w:rsidR="001D2AD0">
        <w:t>ir</w:t>
      </w:r>
      <w:r>
        <w:t xml:space="preserve"> own home.</w:t>
      </w:r>
    </w:p>
    <w:p w14:paraId="1C7C6A56" w14:textId="4287810A" w:rsidR="00E02CAD" w:rsidRPr="00E02CAD" w:rsidRDefault="00E02CAD" w:rsidP="00E02CAD">
      <w:pPr>
        <w:pStyle w:val="Heading3"/>
        <w:numPr>
          <w:ilvl w:val="0"/>
          <w:numId w:val="57"/>
        </w:numPr>
      </w:pPr>
      <w:r>
        <w:t>A primacy of disabled people’s views</w:t>
      </w:r>
    </w:p>
    <w:p w14:paraId="0D8D3110" w14:textId="77777777" w:rsidR="00D53038" w:rsidRDefault="00D53038" w:rsidP="006C1E0B">
      <w:pPr>
        <w:pStyle w:val="ListNumber"/>
        <w:numPr>
          <w:ilvl w:val="0"/>
          <w:numId w:val="0"/>
        </w:numPr>
        <w:ind w:left="567"/>
      </w:pPr>
    </w:p>
    <w:p w14:paraId="67ECAE3B" w14:textId="44E8DD84" w:rsidR="00E02CAD" w:rsidRDefault="001D2AD0" w:rsidP="006C1E0B">
      <w:pPr>
        <w:pStyle w:val="ListNumber"/>
        <w:numPr>
          <w:ilvl w:val="0"/>
          <w:numId w:val="0"/>
        </w:numPr>
      </w:pPr>
      <w:r>
        <w:t>T</w:t>
      </w:r>
      <w:r w:rsidR="00E02CAD">
        <w:t xml:space="preserve">o comply with Article 19, disabled people should be able to decline care (or elements of care), even if others think those care elements are best for their wellbeing, and </w:t>
      </w:r>
      <w:r>
        <w:t xml:space="preserve">to </w:t>
      </w:r>
      <w:r w:rsidR="00E02CAD">
        <w:t xml:space="preserve">have that wish respected. </w:t>
      </w:r>
    </w:p>
    <w:p w14:paraId="52811673" w14:textId="77777777" w:rsidR="00D53038" w:rsidRDefault="00D53038" w:rsidP="006C1E0B">
      <w:pPr>
        <w:pStyle w:val="ListNumber"/>
        <w:numPr>
          <w:ilvl w:val="0"/>
          <w:numId w:val="0"/>
        </w:numPr>
        <w:ind w:left="567" w:hanging="567"/>
      </w:pPr>
    </w:p>
    <w:p w14:paraId="550731E1" w14:textId="3486F894" w:rsidR="00E02CAD" w:rsidRDefault="00E02CAD" w:rsidP="006C1E0B">
      <w:pPr>
        <w:pStyle w:val="ListNumber"/>
        <w:numPr>
          <w:ilvl w:val="0"/>
          <w:numId w:val="0"/>
        </w:numPr>
      </w:pPr>
      <w:r>
        <w:lastRenderedPageBreak/>
        <w:t>This is necessary particular</w:t>
      </w:r>
      <w:r w:rsidR="001D2AD0">
        <w:t>ly</w:t>
      </w:r>
      <w:r>
        <w:t xml:space="preserve"> to prevent those wishes being undermined by decision-makers who may seek to block a community placement – for example because they think some elements of care will not be available in the community, while the disabled person considers this a sacrifice worth making for living in their community. This is reflected in the provision below.</w:t>
      </w:r>
    </w:p>
    <w:p w14:paraId="08BEBEE7" w14:textId="77C78D5A" w:rsidR="00E02CAD" w:rsidRDefault="00E02CAD" w:rsidP="00E02CAD">
      <w:pPr>
        <w:pStyle w:val="Heading4"/>
      </w:pPr>
      <w:r>
        <w:t>Proposed fo</w:t>
      </w:r>
      <w:r w:rsidR="00BD17F0">
        <w:t>rmulation of a right to decline</w:t>
      </w:r>
      <w:r>
        <w:t xml:space="preserve">  </w:t>
      </w:r>
    </w:p>
    <w:p w14:paraId="697FF0BA" w14:textId="77777777" w:rsidR="00D53038" w:rsidRDefault="00D53038" w:rsidP="006C1E0B">
      <w:pPr>
        <w:pStyle w:val="ListNumber"/>
        <w:numPr>
          <w:ilvl w:val="0"/>
          <w:numId w:val="0"/>
        </w:numPr>
        <w:ind w:left="567"/>
      </w:pPr>
    </w:p>
    <w:p w14:paraId="733910EA" w14:textId="57DA3714" w:rsidR="00E02CAD" w:rsidRDefault="00E02CAD" w:rsidP="006C1E0B">
      <w:pPr>
        <w:pStyle w:val="ListNumber"/>
        <w:numPr>
          <w:ilvl w:val="0"/>
          <w:numId w:val="0"/>
        </w:numPr>
      </w:pPr>
      <w:r>
        <w:t>The following provisions apply where a public authority is assessing a disabled person’s need for accommodation, care or support.</w:t>
      </w:r>
    </w:p>
    <w:p w14:paraId="7F08AC6A" w14:textId="77777777" w:rsidR="00D53038" w:rsidRDefault="00D53038" w:rsidP="006C1E0B">
      <w:pPr>
        <w:pStyle w:val="ListNumber"/>
        <w:numPr>
          <w:ilvl w:val="0"/>
          <w:numId w:val="0"/>
        </w:numPr>
        <w:ind w:left="567"/>
      </w:pPr>
    </w:p>
    <w:p w14:paraId="22871637" w14:textId="45238741" w:rsidR="00E02CAD" w:rsidRDefault="00E02CAD" w:rsidP="006C1E0B">
      <w:pPr>
        <w:pStyle w:val="ListNumber"/>
        <w:numPr>
          <w:ilvl w:val="0"/>
          <w:numId w:val="0"/>
        </w:numPr>
      </w:pPr>
      <w:r>
        <w:t>A disabled person may decline any particular provision or element of provision, or request different provision, even though other people may consider that giving effect to such a preference would compromise the disabled person’s wellbeing.</w:t>
      </w:r>
    </w:p>
    <w:p w14:paraId="01C3993B" w14:textId="77777777" w:rsidR="00D53038" w:rsidRDefault="00D53038" w:rsidP="006C1E0B">
      <w:pPr>
        <w:pStyle w:val="ListNumber"/>
        <w:numPr>
          <w:ilvl w:val="0"/>
          <w:numId w:val="0"/>
        </w:numPr>
        <w:ind w:left="567"/>
      </w:pPr>
    </w:p>
    <w:p w14:paraId="01CCCAB9" w14:textId="34A38F77" w:rsidR="00E02CAD" w:rsidRDefault="00E02CAD" w:rsidP="006C1E0B">
      <w:pPr>
        <w:pStyle w:val="ListNumber"/>
        <w:numPr>
          <w:ilvl w:val="0"/>
          <w:numId w:val="0"/>
        </w:numPr>
      </w:pPr>
      <w:r>
        <w:t xml:space="preserve">The public authority must give effect to a choice falling within the provision. </w:t>
      </w:r>
    </w:p>
    <w:p w14:paraId="7CE55C2A" w14:textId="074E8814" w:rsidR="00E02CAD" w:rsidRPr="00E02CAD" w:rsidRDefault="003470B8" w:rsidP="006C1E0B">
      <w:pPr>
        <w:pStyle w:val="Heading3"/>
      </w:pPr>
      <w:r>
        <w:t xml:space="preserve">d) </w:t>
      </w:r>
      <w:r w:rsidR="00E02CAD">
        <w:t>A prohibition on the establishment of further institutional accommodation</w:t>
      </w:r>
    </w:p>
    <w:p w14:paraId="50685741" w14:textId="77777777" w:rsidR="00D53038" w:rsidRDefault="00D53038" w:rsidP="006C1E0B">
      <w:pPr>
        <w:pStyle w:val="ListNumber"/>
        <w:numPr>
          <w:ilvl w:val="0"/>
          <w:numId w:val="0"/>
        </w:numPr>
        <w:ind w:left="567"/>
      </w:pPr>
    </w:p>
    <w:p w14:paraId="0A2993C2" w14:textId="7C367661" w:rsidR="00E02CAD" w:rsidRDefault="00E02CAD" w:rsidP="006C1E0B">
      <w:pPr>
        <w:pStyle w:val="ListNumber"/>
        <w:numPr>
          <w:ilvl w:val="0"/>
          <w:numId w:val="0"/>
        </w:numPr>
      </w:pPr>
      <w:r>
        <w:t xml:space="preserve">Compliance with Article 19 means that no new institutional accommodation should be created.  </w:t>
      </w:r>
    </w:p>
    <w:p w14:paraId="1006EA0E" w14:textId="77777777" w:rsidR="00D53038" w:rsidRDefault="00D53038" w:rsidP="006C1E0B">
      <w:pPr>
        <w:pStyle w:val="ListNumber"/>
        <w:numPr>
          <w:ilvl w:val="0"/>
          <w:numId w:val="0"/>
        </w:numPr>
        <w:ind w:left="567"/>
      </w:pPr>
    </w:p>
    <w:p w14:paraId="2F4A2B70" w14:textId="38FB279F" w:rsidR="00E02CAD" w:rsidRDefault="00E02CAD" w:rsidP="006C1E0B">
      <w:pPr>
        <w:pStyle w:val="ListNumber"/>
        <w:numPr>
          <w:ilvl w:val="0"/>
          <w:numId w:val="0"/>
        </w:numPr>
      </w:pPr>
      <w:r>
        <w:t xml:space="preserve">This is generally in line with the Transforming Care </w:t>
      </w:r>
      <w:r w:rsidR="003470B8">
        <w:t>p</w:t>
      </w:r>
      <w:r>
        <w:t xml:space="preserve">rogramme and recent moves by the Care Quality Commission (whose policy on registering new providers of care for people with learning disabilities and autism marks a clear shift towards support in the community). </w:t>
      </w:r>
    </w:p>
    <w:p w14:paraId="04D2CD6C" w14:textId="77777777" w:rsidR="00D53038" w:rsidRDefault="00D53038" w:rsidP="006C1E0B">
      <w:pPr>
        <w:pStyle w:val="ListNumber"/>
        <w:numPr>
          <w:ilvl w:val="0"/>
          <w:numId w:val="0"/>
        </w:numPr>
        <w:ind w:left="567"/>
      </w:pPr>
    </w:p>
    <w:p w14:paraId="5EB181CE" w14:textId="34C50162" w:rsidR="00E02CAD" w:rsidRDefault="00E02CAD" w:rsidP="006C1E0B">
      <w:pPr>
        <w:pStyle w:val="ListNumber"/>
        <w:numPr>
          <w:ilvl w:val="0"/>
          <w:numId w:val="0"/>
        </w:numPr>
      </w:pPr>
      <w:r>
        <w:t xml:space="preserve">We received some feedback that a provision on deinstitutionalisation should go further and include an explicit requirement to close down existing institutions. Alternatively, this could take the form of requiring existing institutions to divest themselves of the features of institutions set out in the proposed provisions on interpretation below. </w:t>
      </w:r>
    </w:p>
    <w:p w14:paraId="1ED0DE8B" w14:textId="4589CC97" w:rsidR="00E02CAD" w:rsidRDefault="00E02CAD" w:rsidP="00E02CAD">
      <w:pPr>
        <w:pStyle w:val="Heading4"/>
      </w:pPr>
      <w:r>
        <w:t>P</w:t>
      </w:r>
      <w:r w:rsidR="001E7024">
        <w:t>roposed</w:t>
      </w:r>
      <w:r>
        <w:t xml:space="preserve"> formulation of a prov</w:t>
      </w:r>
      <w:r w:rsidR="00BD17F0">
        <w:t>ision on deinstitutionalisation</w:t>
      </w:r>
    </w:p>
    <w:p w14:paraId="1D576581" w14:textId="77777777" w:rsidR="00D53038" w:rsidRDefault="00D53038" w:rsidP="006C1E0B">
      <w:pPr>
        <w:pStyle w:val="ListNumber"/>
        <w:numPr>
          <w:ilvl w:val="0"/>
          <w:numId w:val="0"/>
        </w:numPr>
        <w:ind w:left="567"/>
      </w:pPr>
    </w:p>
    <w:p w14:paraId="52C30556" w14:textId="0EEFB74B" w:rsidR="00E02CAD" w:rsidRDefault="00E02CAD" w:rsidP="006C1E0B">
      <w:pPr>
        <w:pStyle w:val="ListNumber"/>
        <w:numPr>
          <w:ilvl w:val="0"/>
          <w:numId w:val="0"/>
        </w:numPr>
      </w:pPr>
      <w:r>
        <w:t>A public authority exercising functions in relation to the regulation or authorisation of residential accommodation shall do so to secure that no existing institutions are permitted to expand and no new institutions are established</w:t>
      </w:r>
      <w:r w:rsidR="003470B8">
        <w:t>.</w:t>
      </w:r>
      <w:r>
        <w:t xml:space="preserve"> </w:t>
      </w:r>
    </w:p>
    <w:p w14:paraId="17D26570" w14:textId="77777777" w:rsidR="00D53038" w:rsidRDefault="00D53038" w:rsidP="006C1E0B">
      <w:pPr>
        <w:pStyle w:val="ListNumber"/>
        <w:numPr>
          <w:ilvl w:val="0"/>
          <w:numId w:val="0"/>
        </w:numPr>
        <w:ind w:left="567"/>
      </w:pPr>
    </w:p>
    <w:p w14:paraId="40993765" w14:textId="3D2A7DB9" w:rsidR="00E02CAD" w:rsidRDefault="00E02CAD" w:rsidP="006C1E0B">
      <w:pPr>
        <w:pStyle w:val="ListNumber"/>
        <w:numPr>
          <w:ilvl w:val="0"/>
          <w:numId w:val="0"/>
        </w:numPr>
      </w:pPr>
      <w:r>
        <w:t xml:space="preserve">This provision shall not prevent the continuation of maintenance </w:t>
      </w:r>
      <w:r w:rsidR="00570BEF">
        <w:t xml:space="preserve">and </w:t>
      </w:r>
      <w:r>
        <w:t>improvement of conditions</w:t>
      </w:r>
      <w:r w:rsidR="00570BEF">
        <w:t xml:space="preserve"> at</w:t>
      </w:r>
      <w:r>
        <w:t xml:space="preserve"> existing institutions.</w:t>
      </w:r>
    </w:p>
    <w:p w14:paraId="588CE75F" w14:textId="2226027E" w:rsidR="00E02CAD" w:rsidRDefault="003470B8" w:rsidP="00E02CAD">
      <w:pPr>
        <w:pStyle w:val="Heading3"/>
      </w:pPr>
      <w:r>
        <w:lastRenderedPageBreak/>
        <w:t>e</w:t>
      </w:r>
      <w:r w:rsidR="00E02CAD">
        <w:t>) Assessment of unmet need</w:t>
      </w:r>
    </w:p>
    <w:p w14:paraId="2F9860E3" w14:textId="77777777" w:rsidR="00D53038" w:rsidRDefault="00D53038" w:rsidP="006C1E0B">
      <w:pPr>
        <w:pStyle w:val="ListNumber"/>
        <w:numPr>
          <w:ilvl w:val="0"/>
          <w:numId w:val="0"/>
        </w:numPr>
        <w:ind w:left="567"/>
      </w:pPr>
    </w:p>
    <w:p w14:paraId="5887604C" w14:textId="273A5EE9" w:rsidR="00E02CAD" w:rsidRDefault="00570BEF" w:rsidP="006C1E0B">
      <w:pPr>
        <w:pStyle w:val="ListNumber"/>
        <w:numPr>
          <w:ilvl w:val="0"/>
          <w:numId w:val="0"/>
        </w:numPr>
      </w:pPr>
      <w:r>
        <w:t>T</w:t>
      </w:r>
      <w:r w:rsidR="00E02CAD">
        <w:t>o ensure concrete progress towards full realisation of the right to independent living, it is important that authorities understand the extent of the need for accom</w:t>
      </w:r>
      <w:r>
        <w:t>m</w:t>
      </w:r>
      <w:r w:rsidR="00E02CAD">
        <w:t xml:space="preserve">odation, support and care in the community and the extent to which this is currently being met.  </w:t>
      </w:r>
    </w:p>
    <w:p w14:paraId="4E20760B" w14:textId="77777777" w:rsidR="00D53038" w:rsidRDefault="00D53038" w:rsidP="006C1E0B">
      <w:pPr>
        <w:pStyle w:val="ListNumber"/>
        <w:numPr>
          <w:ilvl w:val="0"/>
          <w:numId w:val="0"/>
        </w:numPr>
        <w:ind w:left="567"/>
      </w:pPr>
    </w:p>
    <w:p w14:paraId="236AEBDA" w14:textId="52D6F649" w:rsidR="00E02CAD" w:rsidRDefault="00E02CAD" w:rsidP="006C1E0B">
      <w:pPr>
        <w:pStyle w:val="ListNumber"/>
        <w:numPr>
          <w:ilvl w:val="0"/>
          <w:numId w:val="0"/>
        </w:numPr>
      </w:pPr>
      <w:r>
        <w:t xml:space="preserve">The draft provision below proposes a local duty based on </w:t>
      </w:r>
      <w:bookmarkStart w:id="71" w:name="_Hlk66628393"/>
      <w:r>
        <w:t xml:space="preserve">the </w:t>
      </w:r>
      <w:r w:rsidR="005A1B86">
        <w:t>j</w:t>
      </w:r>
      <w:r>
        <w:t xml:space="preserve">oint </w:t>
      </w:r>
      <w:r w:rsidR="005A1B86">
        <w:t>s</w:t>
      </w:r>
      <w:r>
        <w:t xml:space="preserve">trategic </w:t>
      </w:r>
      <w:r w:rsidR="005A1B86">
        <w:t>n</w:t>
      </w:r>
      <w:r>
        <w:t xml:space="preserve">eeds </w:t>
      </w:r>
      <w:r w:rsidR="005A1B86">
        <w:t>a</w:t>
      </w:r>
      <w:r>
        <w:t xml:space="preserve">ssessment regime set out in </w:t>
      </w:r>
      <w:r w:rsidR="00761099">
        <w:t>S</w:t>
      </w:r>
      <w:r>
        <w:t>ection 116 of the Local Government and Public Involvement in Health Act 2007.</w:t>
      </w:r>
    </w:p>
    <w:bookmarkEnd w:id="71"/>
    <w:p w14:paraId="40835BA7" w14:textId="77777777" w:rsidR="00D53038" w:rsidRDefault="00D53038" w:rsidP="006C1E0B">
      <w:pPr>
        <w:pStyle w:val="ListNumber"/>
        <w:numPr>
          <w:ilvl w:val="0"/>
          <w:numId w:val="0"/>
        </w:numPr>
        <w:ind w:left="567"/>
      </w:pPr>
    </w:p>
    <w:p w14:paraId="4DE811E1" w14:textId="4F08F8AB" w:rsidR="00E02CAD" w:rsidRDefault="00E02CAD" w:rsidP="006C1E0B">
      <w:pPr>
        <w:pStyle w:val="ListNumber"/>
        <w:numPr>
          <w:ilvl w:val="0"/>
          <w:numId w:val="0"/>
        </w:numPr>
      </w:pPr>
      <w:r>
        <w:t xml:space="preserve">Focusing that process only on the obligations in the provisions on accommodation and care and support </w:t>
      </w:r>
      <w:bookmarkStart w:id="72" w:name="_Hlk66629909"/>
      <w:r w:rsidR="00CE18F7">
        <w:t>(</w:t>
      </w:r>
      <w:r>
        <w:t xml:space="preserve">under </w:t>
      </w:r>
      <w:r w:rsidR="00CE18F7">
        <w:t>b)</w:t>
      </w:r>
      <w:r>
        <w:t xml:space="preserve"> </w:t>
      </w:r>
      <w:r w:rsidR="00CE18F7">
        <w:t xml:space="preserve">A qualified presumption in favour of living in the community, </w:t>
      </w:r>
      <w:r>
        <w:t>above</w:t>
      </w:r>
      <w:r w:rsidR="00CE18F7">
        <w:t>)</w:t>
      </w:r>
      <w:r>
        <w:t xml:space="preserve"> </w:t>
      </w:r>
      <w:bookmarkEnd w:id="72"/>
      <w:r>
        <w:t xml:space="preserve">directs it to those things </w:t>
      </w:r>
      <w:r w:rsidR="00CE18F7">
        <w:t>that</w:t>
      </w:r>
      <w:r>
        <w:t xml:space="preserve"> are, in this proposal, the most hard-edged legal obligations.</w:t>
      </w:r>
    </w:p>
    <w:p w14:paraId="0E79895C" w14:textId="77777777" w:rsidR="00D53038" w:rsidRDefault="00D53038" w:rsidP="006C1E0B">
      <w:pPr>
        <w:pStyle w:val="ListNumber"/>
        <w:numPr>
          <w:ilvl w:val="0"/>
          <w:numId w:val="0"/>
        </w:numPr>
        <w:ind w:left="567"/>
      </w:pPr>
    </w:p>
    <w:p w14:paraId="6FCAD2C5" w14:textId="146554F9" w:rsidR="00E02CAD" w:rsidRDefault="00E02CAD" w:rsidP="006C1E0B">
      <w:pPr>
        <w:pStyle w:val="ListNumber"/>
        <w:numPr>
          <w:ilvl w:val="0"/>
          <w:numId w:val="0"/>
        </w:numPr>
      </w:pPr>
      <w:r>
        <w:t xml:space="preserve">The element below proposes a linked duty on the Secretary of State to produce a national assessment based on those local </w:t>
      </w:r>
      <w:r w:rsidR="00CE18F7">
        <w:t xml:space="preserve">needs </w:t>
      </w:r>
      <w:r>
        <w:t xml:space="preserve">assessments. </w:t>
      </w:r>
    </w:p>
    <w:p w14:paraId="59D5E319" w14:textId="77777777" w:rsidR="00D53038" w:rsidRDefault="00D53038" w:rsidP="006C1E0B">
      <w:pPr>
        <w:pStyle w:val="ListNumber"/>
        <w:numPr>
          <w:ilvl w:val="0"/>
          <w:numId w:val="0"/>
        </w:numPr>
        <w:ind w:left="567"/>
      </w:pPr>
    </w:p>
    <w:p w14:paraId="22BC7E95" w14:textId="70504638" w:rsidR="00E02CAD" w:rsidRDefault="00E02CAD" w:rsidP="006C1E0B">
      <w:pPr>
        <w:pStyle w:val="ListNumber"/>
        <w:numPr>
          <w:ilvl w:val="0"/>
          <w:numId w:val="0"/>
        </w:numPr>
      </w:pPr>
      <w:r>
        <w:t>As explained above, the national assessment is in part to inform the process of bringing into force provisions relating to the presumptions in favour of community living and</w:t>
      </w:r>
      <w:r w:rsidR="00CE18F7">
        <w:t xml:space="preserve"> so</w:t>
      </w:r>
      <w:r>
        <w:t xml:space="preserve"> bring about the progressive realisation of those elements of Article 19</w:t>
      </w:r>
      <w:r w:rsidR="00761099">
        <w:t>.</w:t>
      </w:r>
      <w:r>
        <w:t xml:space="preserve"> </w:t>
      </w:r>
    </w:p>
    <w:p w14:paraId="1F47D2CE" w14:textId="096C15C1" w:rsidR="00E02CAD" w:rsidRDefault="00E02CAD" w:rsidP="00E02CAD">
      <w:pPr>
        <w:pStyle w:val="Heading4"/>
      </w:pPr>
      <w:r>
        <w:t xml:space="preserve">Proposed formulation of duties </w:t>
      </w:r>
      <w:r w:rsidR="00BD17F0">
        <w:t>to report and act on unmet need</w:t>
      </w:r>
    </w:p>
    <w:p w14:paraId="022832A0" w14:textId="77777777" w:rsidR="00D53038" w:rsidRDefault="00D53038" w:rsidP="006C1E0B">
      <w:pPr>
        <w:pStyle w:val="ListNumber"/>
        <w:numPr>
          <w:ilvl w:val="0"/>
          <w:numId w:val="0"/>
        </w:numPr>
        <w:ind w:left="567"/>
      </w:pPr>
    </w:p>
    <w:p w14:paraId="0E070124" w14:textId="4D1D8FF3" w:rsidR="00E02CAD" w:rsidRDefault="00E02CAD" w:rsidP="006C1E0B">
      <w:pPr>
        <w:pStyle w:val="ListNumber"/>
        <w:numPr>
          <w:ilvl w:val="0"/>
          <w:numId w:val="0"/>
        </w:numPr>
      </w:pPr>
      <w:r>
        <w:t xml:space="preserve">A listed public authority must prepare and publish within a year of the commencement of the relevant provisions, and then every two years after that or as directed by the Secretary of State, a report setting out: </w:t>
      </w:r>
    </w:p>
    <w:p w14:paraId="3DC36CDD" w14:textId="6D21CBD0" w:rsidR="00E02CAD" w:rsidRDefault="00E02CAD" w:rsidP="000C0843">
      <w:pPr>
        <w:pStyle w:val="ListBullet3"/>
      </w:pPr>
      <w:r>
        <w:t xml:space="preserve">its assessment of relevant needs in its area </w:t>
      </w:r>
    </w:p>
    <w:p w14:paraId="0D342943" w14:textId="52A2B938" w:rsidR="00E02CAD" w:rsidRDefault="00E02CAD" w:rsidP="000C0843">
      <w:pPr>
        <w:pStyle w:val="ListBullet3"/>
      </w:pPr>
      <w:r>
        <w:t>the extent to which those relevant needs are being met</w:t>
      </w:r>
      <w:r w:rsidR="00CE18F7">
        <w:t>,</w:t>
      </w:r>
      <w:r>
        <w:t xml:space="preserve"> and</w:t>
      </w:r>
    </w:p>
    <w:p w14:paraId="4C4B1FDA" w14:textId="598CF1DD" w:rsidR="00E02CAD" w:rsidRDefault="00E02CAD" w:rsidP="000C0843">
      <w:pPr>
        <w:pStyle w:val="ListBullet3"/>
      </w:pPr>
      <w:r>
        <w:t>what it will do to meet those relevant needs.</w:t>
      </w:r>
    </w:p>
    <w:p w14:paraId="05167066" w14:textId="77777777" w:rsidR="00D53038" w:rsidRDefault="00D53038" w:rsidP="006C1E0B">
      <w:pPr>
        <w:pStyle w:val="ListNumber"/>
        <w:numPr>
          <w:ilvl w:val="0"/>
          <w:numId w:val="0"/>
        </w:numPr>
        <w:ind w:left="567"/>
      </w:pPr>
    </w:p>
    <w:p w14:paraId="3F4B482E" w14:textId="47A88251" w:rsidR="00E02CAD" w:rsidRDefault="00E02CAD" w:rsidP="006C1E0B">
      <w:pPr>
        <w:pStyle w:val="ListNumber"/>
        <w:numPr>
          <w:ilvl w:val="0"/>
          <w:numId w:val="0"/>
        </w:numPr>
      </w:pPr>
      <w:r>
        <w:t xml:space="preserve">‘Relevant needs’ means all needs for services necessary for it to discharge the duties under the provisions on accommodation and care and support under </w:t>
      </w:r>
      <w:r w:rsidR="00CE18F7">
        <w:t xml:space="preserve">b) A qualified presumption in favour of living in the community, </w:t>
      </w:r>
      <w:r>
        <w:t xml:space="preserve"> above.</w:t>
      </w:r>
    </w:p>
    <w:p w14:paraId="79AA6DF3" w14:textId="77777777" w:rsidR="00D53038" w:rsidRDefault="00D53038" w:rsidP="006C1E0B">
      <w:pPr>
        <w:pStyle w:val="ListNumber"/>
        <w:numPr>
          <w:ilvl w:val="0"/>
          <w:numId w:val="0"/>
        </w:numPr>
        <w:ind w:left="567"/>
      </w:pPr>
    </w:p>
    <w:p w14:paraId="78CBD158" w14:textId="269C49A0" w:rsidR="00E02CAD" w:rsidRDefault="00E02CAD" w:rsidP="006C1E0B">
      <w:pPr>
        <w:pStyle w:val="ListNumber"/>
        <w:numPr>
          <w:ilvl w:val="0"/>
          <w:numId w:val="0"/>
        </w:numPr>
      </w:pPr>
      <w:r>
        <w:t xml:space="preserve">The Secretary of State must prepare and publish within two years of the commencement of the relevant provisions, and then every two years after that, a report setting out: </w:t>
      </w:r>
    </w:p>
    <w:p w14:paraId="3E2B08B7" w14:textId="5AC08C01" w:rsidR="00E02CAD" w:rsidRDefault="00E02CAD" w:rsidP="000C0843">
      <w:pPr>
        <w:pStyle w:val="ListBullet3"/>
      </w:pPr>
      <w:r>
        <w:t>the Secretary of State’s assessment of relevant needs in England</w:t>
      </w:r>
    </w:p>
    <w:p w14:paraId="13FA361D" w14:textId="54C13DB0" w:rsidR="00E02CAD" w:rsidRDefault="00E02CAD" w:rsidP="000C0843">
      <w:pPr>
        <w:pStyle w:val="ListBullet3"/>
      </w:pPr>
      <w:r>
        <w:lastRenderedPageBreak/>
        <w:t xml:space="preserve">the extent to which those needs are being met </w:t>
      </w:r>
    </w:p>
    <w:p w14:paraId="00FAC404" w14:textId="14687C7B" w:rsidR="00E02CAD" w:rsidRDefault="00E02CAD" w:rsidP="000C0843">
      <w:pPr>
        <w:pStyle w:val="ListBullet3"/>
      </w:pPr>
      <w:r>
        <w:t>what the Secretary of State will do to secure that those relevant needs are met</w:t>
      </w:r>
      <w:r w:rsidR="00CE18F7">
        <w:t>.</w:t>
      </w:r>
      <w:r>
        <w:t xml:space="preserve"> and </w:t>
      </w:r>
    </w:p>
    <w:p w14:paraId="75BE238D" w14:textId="4287E69E" w:rsidR="00E02CAD" w:rsidRDefault="00E02CAD" w:rsidP="000C0843">
      <w:pPr>
        <w:pStyle w:val="ListBullet3"/>
      </w:pPr>
      <w:r>
        <w:t>when they will commence the provisions on</w:t>
      </w:r>
      <w:r w:rsidR="00CE18F7">
        <w:t xml:space="preserve"> </w:t>
      </w:r>
      <w:r>
        <w:t xml:space="preserve">accommodation and care and support. </w:t>
      </w:r>
    </w:p>
    <w:p w14:paraId="5698D346" w14:textId="72A71708" w:rsidR="00E02CAD" w:rsidRDefault="00CE18F7" w:rsidP="00E02CAD">
      <w:pPr>
        <w:pStyle w:val="Heading3"/>
      </w:pPr>
      <w:r>
        <w:t>f</w:t>
      </w:r>
      <w:r w:rsidR="00E02CAD">
        <w:t>) Enforcement and interpretation provisions</w:t>
      </w:r>
    </w:p>
    <w:p w14:paraId="2F835BCA" w14:textId="77777777" w:rsidR="00D53038" w:rsidRDefault="00D53038" w:rsidP="006C1E0B">
      <w:pPr>
        <w:pStyle w:val="ListNumber"/>
        <w:numPr>
          <w:ilvl w:val="0"/>
          <w:numId w:val="0"/>
        </w:numPr>
        <w:ind w:left="567"/>
      </w:pPr>
    </w:p>
    <w:p w14:paraId="487967F6" w14:textId="487C9266" w:rsidR="00E02CAD" w:rsidRDefault="00CE18F7" w:rsidP="006C1E0B">
      <w:pPr>
        <w:pStyle w:val="ListNumber"/>
        <w:numPr>
          <w:ilvl w:val="0"/>
          <w:numId w:val="0"/>
        </w:numPr>
      </w:pPr>
      <w:r>
        <w:t>T</w:t>
      </w:r>
      <w:r w:rsidR="00E02CAD">
        <w:t xml:space="preserve">o ensure clarity of application and the enforceability of a right to independent living, </w:t>
      </w:r>
      <w:r>
        <w:t xml:space="preserve">we </w:t>
      </w:r>
      <w:r w:rsidR="00E02CAD">
        <w:t xml:space="preserve">consider that the elements above would need to be accompanied by the following provisions: </w:t>
      </w:r>
    </w:p>
    <w:p w14:paraId="1BE49624" w14:textId="724850A2" w:rsidR="00E02CAD" w:rsidRDefault="00E02CAD" w:rsidP="000C0843">
      <w:pPr>
        <w:pStyle w:val="ListBullet3"/>
      </w:pPr>
      <w:r w:rsidRPr="00E02CAD">
        <w:rPr>
          <w:b/>
        </w:rPr>
        <w:t>Enforcement:</w:t>
      </w:r>
      <w:r>
        <w:t xml:space="preserve"> Provision for an independent body, such as a</w:t>
      </w:r>
      <w:r w:rsidR="00761099">
        <w:t xml:space="preserve"> </w:t>
      </w:r>
      <w:r>
        <w:t xml:space="preserve"> tribunal (likely to be part of the </w:t>
      </w:r>
      <w:bookmarkStart w:id="73" w:name="_Hlk66630368"/>
      <w:r>
        <w:t>First</w:t>
      </w:r>
      <w:r w:rsidR="00A26C73">
        <w:t>-t</w:t>
      </w:r>
      <w:r>
        <w:t>ier Tribunal</w:t>
      </w:r>
      <w:bookmarkEnd w:id="73"/>
      <w:r>
        <w:t xml:space="preserve">) to decide whether public authorities have discharged their obligations. Without such provisions, a person would only be able to challenge through existing complaints routes (which are not sufficient for Article 19 compliance purposes) and/or by judicial review (which looks only at the legality of decisions and not their substantive merits). </w:t>
      </w:r>
    </w:p>
    <w:p w14:paraId="3415BA24" w14:textId="7C0743F5" w:rsidR="00E02CAD" w:rsidRDefault="00E02CAD" w:rsidP="000C0843">
      <w:pPr>
        <w:pStyle w:val="ListBullet3"/>
      </w:pPr>
      <w:r w:rsidRPr="00E02CAD">
        <w:rPr>
          <w:b/>
        </w:rPr>
        <w:t>Guidance and definitions:</w:t>
      </w:r>
      <w:r>
        <w:t xml:space="preserve"> The provision of guidance, produced through public consultation and with parliamentary approval, will be required to ensure clarity of implementation of the relevant elements outlined above. In addition, it will be important to define key terms. On the latter point, </w:t>
      </w:r>
      <w:r w:rsidR="00CE18F7">
        <w:t xml:space="preserve">we </w:t>
      </w:r>
      <w:r>
        <w:t>propose the following interpretation of terms relating to institutions</w:t>
      </w:r>
      <w:r w:rsidR="00CE18F7">
        <w:t>.</w:t>
      </w:r>
      <w:r>
        <w:t xml:space="preserve"> </w:t>
      </w:r>
    </w:p>
    <w:p w14:paraId="58E775C1" w14:textId="2EA29B8B" w:rsidR="00E02CAD" w:rsidRDefault="00E02CAD" w:rsidP="00E02CAD">
      <w:pPr>
        <w:pStyle w:val="Heading4"/>
      </w:pPr>
      <w:r>
        <w:t xml:space="preserve">Proposed formulation </w:t>
      </w:r>
      <w:r w:rsidR="00BD17F0">
        <w:t>of provisions on interpretation</w:t>
      </w:r>
      <w:r>
        <w:t xml:space="preserve"> </w:t>
      </w:r>
    </w:p>
    <w:p w14:paraId="451976EC" w14:textId="77777777" w:rsidR="00D53038" w:rsidRDefault="00D53038" w:rsidP="006C1E0B">
      <w:pPr>
        <w:pStyle w:val="ListNumber"/>
        <w:numPr>
          <w:ilvl w:val="0"/>
          <w:numId w:val="0"/>
        </w:numPr>
        <w:ind w:left="567"/>
      </w:pPr>
    </w:p>
    <w:p w14:paraId="21FC7619" w14:textId="3DC6F5A1" w:rsidR="00E02CAD" w:rsidRDefault="00E02CAD" w:rsidP="006C1E0B">
      <w:pPr>
        <w:pStyle w:val="ListNumber"/>
        <w:numPr>
          <w:ilvl w:val="0"/>
          <w:numId w:val="0"/>
        </w:numPr>
      </w:pPr>
      <w:r>
        <w:t xml:space="preserve">Living or being accommodated in the community means living in, or being provided with, accommodation </w:t>
      </w:r>
      <w:r w:rsidR="00CE18F7">
        <w:t>that</w:t>
      </w:r>
      <w:r>
        <w:t xml:space="preserve"> is not in an institution.</w:t>
      </w:r>
    </w:p>
    <w:p w14:paraId="310D667F" w14:textId="77777777" w:rsidR="00D53038" w:rsidRDefault="00D53038" w:rsidP="006C1E0B">
      <w:pPr>
        <w:pStyle w:val="ListNumber"/>
        <w:numPr>
          <w:ilvl w:val="0"/>
          <w:numId w:val="0"/>
        </w:numPr>
        <w:ind w:left="567"/>
      </w:pPr>
    </w:p>
    <w:p w14:paraId="45A4A7A3" w14:textId="6339876E" w:rsidR="00E02CAD" w:rsidRDefault="00E02CAD" w:rsidP="006C1E0B">
      <w:pPr>
        <w:pStyle w:val="ListNumber"/>
        <w:numPr>
          <w:ilvl w:val="0"/>
          <w:numId w:val="0"/>
        </w:numPr>
      </w:pPr>
      <w:r>
        <w:t>An institution is residential accommodation where:</w:t>
      </w:r>
    </w:p>
    <w:p w14:paraId="58BFED55" w14:textId="5E24CD40" w:rsidR="00E02CAD" w:rsidRDefault="00E02CAD" w:rsidP="000C0843">
      <w:pPr>
        <w:pStyle w:val="ListBullet3"/>
      </w:pPr>
      <w:r>
        <w:t>residents are isolated from the broader community</w:t>
      </w:r>
    </w:p>
    <w:p w14:paraId="5600BCE7" w14:textId="14CA036C" w:rsidR="00E02CAD" w:rsidRDefault="00E02CAD" w:rsidP="000C0843">
      <w:pPr>
        <w:pStyle w:val="ListBullet3"/>
      </w:pPr>
      <w:r>
        <w:t>residents live together with people other than those with whom they have chosen to live</w:t>
      </w:r>
    </w:p>
    <w:p w14:paraId="755BE0C0" w14:textId="26042EFF" w:rsidR="00E02CAD" w:rsidRDefault="00E02CAD" w:rsidP="000C0843">
      <w:pPr>
        <w:pStyle w:val="ListBullet3"/>
      </w:pPr>
      <w:r>
        <w:t xml:space="preserve">residents do not have control over their day-to-day lives and over decisions </w:t>
      </w:r>
      <w:r w:rsidR="00CE18F7">
        <w:t xml:space="preserve">that </w:t>
      </w:r>
      <w:r>
        <w:t>affect them</w:t>
      </w:r>
      <w:r w:rsidR="00CE18F7">
        <w:t>,</w:t>
      </w:r>
      <w:r>
        <w:t xml:space="preserve"> or</w:t>
      </w:r>
    </w:p>
    <w:p w14:paraId="45FA1804" w14:textId="3DF4D869" w:rsidR="00CE18F7" w:rsidRDefault="00CE18F7" w:rsidP="000C0843">
      <w:pPr>
        <w:pStyle w:val="ListBullet3"/>
      </w:pPr>
      <w:r>
        <w:t>the interests of the organisation itself tend to take precedence over the residents’ individualised needs or wishes.</w:t>
      </w:r>
    </w:p>
    <w:p w14:paraId="0701341A" w14:textId="77777777" w:rsidR="00D53038" w:rsidRDefault="00D53038" w:rsidP="00BD17F0">
      <w:pPr>
        <w:pStyle w:val="ListNumber"/>
        <w:numPr>
          <w:ilvl w:val="0"/>
          <w:numId w:val="0"/>
        </w:numPr>
        <w:ind w:left="567"/>
      </w:pPr>
    </w:p>
    <w:p w14:paraId="3F2DBCBB" w14:textId="0A80157B" w:rsidR="00E02CAD" w:rsidRDefault="00E02CAD" w:rsidP="00BD17F0">
      <w:pPr>
        <w:pStyle w:val="ListNumber"/>
        <w:numPr>
          <w:ilvl w:val="0"/>
          <w:numId w:val="0"/>
        </w:numPr>
      </w:pPr>
      <w:r>
        <w:lastRenderedPageBreak/>
        <w:t>The Secretary of State may by order add additional factors to be taken into account in determining whether residential accommodation is an institution.</w:t>
      </w:r>
    </w:p>
    <w:p w14:paraId="58AE2BC5" w14:textId="77777777" w:rsidR="00E02CAD" w:rsidRDefault="00E02CAD" w:rsidP="00E02CAD"/>
    <w:p w14:paraId="22E6A805" w14:textId="77777777" w:rsidR="00D93D2B" w:rsidRPr="00D93D2B" w:rsidRDefault="00D93D2B" w:rsidP="00D93D2B"/>
    <w:p w14:paraId="4FFD5714" w14:textId="77777777" w:rsidR="00D93D2B" w:rsidRPr="00D93D2B" w:rsidRDefault="00D93D2B" w:rsidP="00D93D2B"/>
    <w:p w14:paraId="710879DD" w14:textId="77777777" w:rsidR="005C65BC" w:rsidRPr="005C65BC" w:rsidRDefault="005C65BC" w:rsidP="005C65BC"/>
    <w:p w14:paraId="6FD026D0" w14:textId="77777777" w:rsidR="00A26DF5" w:rsidRDefault="00A26DF5">
      <w:pPr>
        <w:keepLines w:val="0"/>
        <w:spacing w:before="0" w:after="160" w:line="259" w:lineRule="auto"/>
        <w:rPr>
          <w:rStyle w:val="Howtousethistemplate"/>
          <w:rFonts w:ascii="MS Gothic" w:eastAsia="MS Gothic" w:hAnsi="MS Gothic" w:cs="MS Gothic"/>
        </w:rPr>
      </w:pPr>
    </w:p>
    <w:p w14:paraId="1F6DE40F" w14:textId="77777777" w:rsidR="00A26DF5" w:rsidRDefault="00A26DF5" w:rsidP="00A26DF5">
      <w:pPr>
        <w:pStyle w:val="Heading1"/>
      </w:pPr>
      <w:bookmarkStart w:id="74" w:name="_Toc71213934"/>
      <w:r>
        <w:lastRenderedPageBreak/>
        <w:t>Contacts</w:t>
      </w:r>
      <w:bookmarkEnd w:id="74"/>
    </w:p>
    <w:p w14:paraId="11A209B9" w14:textId="77777777" w:rsidR="00B740F1" w:rsidRPr="009D0BF2" w:rsidRDefault="00B740F1" w:rsidP="004E2C9C">
      <w:r w:rsidRPr="009D0BF2">
        <w:t xml:space="preserve">This publication and related equality and human rights resources are available from </w:t>
      </w:r>
      <w:hyperlink r:id="rId12" w:history="1">
        <w:r w:rsidRPr="008116DB">
          <w:rPr>
            <w:rStyle w:val="Hyperlink"/>
            <w:kern w:val="28"/>
          </w:rPr>
          <w:t>our website</w:t>
        </w:r>
      </w:hyperlink>
      <w:r>
        <w:t>.</w:t>
      </w:r>
    </w:p>
    <w:p w14:paraId="105BAEFD" w14:textId="77777777" w:rsidR="00B740F1" w:rsidRDefault="00B740F1" w:rsidP="004E2C9C">
      <w:r w:rsidRPr="009D0BF2">
        <w:t xml:space="preserve">Questions and comments regarding this publication may be addressed to: </w:t>
      </w:r>
      <w:hyperlink r:id="rId13" w:history="1">
        <w:r w:rsidRPr="00671F8C">
          <w:rPr>
            <w:rStyle w:val="Hyperlink"/>
            <w:kern w:val="28"/>
          </w:rPr>
          <w:t>correspondence@equalityhumanrights.com</w:t>
        </w:r>
      </w:hyperlink>
      <w:r w:rsidRPr="009D0BF2">
        <w:t xml:space="preserve">. </w:t>
      </w:r>
      <w:r>
        <w:t>We welcome</w:t>
      </w:r>
      <w:r w:rsidRPr="009D0BF2">
        <w:t xml:space="preserve"> your feedback</w:t>
      </w:r>
      <w:r>
        <w:t>.</w:t>
      </w:r>
    </w:p>
    <w:p w14:paraId="2854DCE7" w14:textId="77777777" w:rsidR="00B740F1" w:rsidRPr="00B740F1" w:rsidRDefault="00B740F1" w:rsidP="004E2C9C">
      <w:pPr>
        <w:rPr>
          <w:rStyle w:val="Hyperlink"/>
          <w:kern w:val="28"/>
          <w:u w:val="none"/>
        </w:rPr>
      </w:pPr>
      <w:r w:rsidRPr="00D74E35">
        <w:t xml:space="preserve">For information on accessing </w:t>
      </w:r>
      <w:r>
        <w:t>one of our</w:t>
      </w:r>
      <w:r w:rsidRPr="00D74E35">
        <w:t xml:space="preserve"> publication</w:t>
      </w:r>
      <w:r>
        <w:t>s</w:t>
      </w:r>
      <w:r w:rsidRPr="00D74E35">
        <w:t xml:space="preserve"> in an alternative format, please contact: </w:t>
      </w:r>
      <w:hyperlink r:id="rId14" w:history="1">
        <w:r w:rsidRPr="00D74E35">
          <w:rPr>
            <w:rStyle w:val="Hyperlink"/>
            <w:kern w:val="28"/>
          </w:rPr>
          <w:t>correspondence@equalityhumanrights.com</w:t>
        </w:r>
      </w:hyperlink>
      <w:r w:rsidRPr="00D74E35">
        <w:rPr>
          <w:rStyle w:val="Hyperlink"/>
          <w:kern w:val="28"/>
        </w:rPr>
        <w:t>.</w:t>
      </w:r>
    </w:p>
    <w:p w14:paraId="5AAB5E36" w14:textId="77777777" w:rsidR="00B740F1" w:rsidRPr="008116DB" w:rsidRDefault="00B740F1" w:rsidP="004E2C9C">
      <w:pPr>
        <w:rPr>
          <w:rStyle w:val="Hyperlink"/>
          <w:kern w:val="28"/>
        </w:rPr>
      </w:pPr>
      <w:r>
        <w:rPr>
          <w:rStyle w:val="Hyperlink"/>
          <w:kern w:val="28"/>
        </w:rPr>
        <w:t xml:space="preserve">Keep up to date with our latest news, events and publications by </w:t>
      </w:r>
      <w:hyperlink r:id="rId15" w:history="1">
        <w:r w:rsidRPr="008116DB">
          <w:rPr>
            <w:rStyle w:val="Hyperlink"/>
            <w:kern w:val="28"/>
          </w:rPr>
          <w:t>signing up to our e-newsletter</w:t>
        </w:r>
      </w:hyperlink>
      <w:r>
        <w:rPr>
          <w:rStyle w:val="Hyperlink"/>
          <w:kern w:val="28"/>
        </w:rPr>
        <w:t>.</w:t>
      </w:r>
    </w:p>
    <w:p w14:paraId="7B4A24B7" w14:textId="77777777" w:rsidR="00B740F1" w:rsidRPr="00E460A5" w:rsidRDefault="00B740F1" w:rsidP="00B740F1">
      <w:pPr>
        <w:pStyle w:val="Heading2"/>
      </w:pPr>
      <w:bookmarkStart w:id="75" w:name="_Toc66343472"/>
      <w:bookmarkStart w:id="76" w:name="_Toc66343774"/>
      <w:bookmarkStart w:id="77" w:name="_Toc71213935"/>
      <w:r w:rsidRPr="00E460A5">
        <w:t>EASS</w:t>
      </w:r>
      <w:bookmarkEnd w:id="75"/>
      <w:bookmarkEnd w:id="76"/>
      <w:bookmarkEnd w:id="77"/>
    </w:p>
    <w:p w14:paraId="666F7E48" w14:textId="77777777" w:rsidR="00B740F1" w:rsidRPr="009D0BF2" w:rsidRDefault="00B740F1" w:rsidP="004E2C9C">
      <w:r w:rsidRPr="009D0BF2">
        <w:t xml:space="preserve">For advice, information or guidance on equality, discrimination or human rights issues, please contact the </w:t>
      </w:r>
      <w:hyperlink r:id="rId16" w:history="1">
        <w:r w:rsidRPr="008116DB">
          <w:rPr>
            <w:rStyle w:val="Hyperlink"/>
            <w:kern w:val="28"/>
          </w:rPr>
          <w:t>Equality Advisory and Support Service</w:t>
        </w:r>
      </w:hyperlink>
      <w:r w:rsidRPr="009D0BF2">
        <w:t>, a free and independent service.</w:t>
      </w:r>
    </w:p>
    <w:p w14:paraId="5E4C8F75" w14:textId="77777777" w:rsidR="00B740F1" w:rsidRPr="009D0BF2" w:rsidRDefault="00B740F1" w:rsidP="004E2C9C">
      <w:pPr>
        <w:rPr>
          <w:color w:val="000000"/>
        </w:rPr>
      </w:pPr>
      <w:r w:rsidRPr="009D0BF2">
        <w:rPr>
          <w:color w:val="000000"/>
        </w:rPr>
        <w:t xml:space="preserve">Telephone </w:t>
      </w:r>
      <w:r w:rsidRPr="009D0BF2">
        <w:rPr>
          <w:color w:val="000000"/>
        </w:rPr>
        <w:tab/>
        <w:t>0808 800 0082</w:t>
      </w:r>
    </w:p>
    <w:p w14:paraId="3A286CA5" w14:textId="77777777" w:rsidR="00B740F1" w:rsidRPr="009D0BF2" w:rsidRDefault="00B740F1" w:rsidP="004E2C9C">
      <w:pPr>
        <w:rPr>
          <w:color w:val="000000"/>
        </w:rPr>
      </w:pPr>
      <w:r w:rsidRPr="009D0BF2">
        <w:rPr>
          <w:color w:val="000000"/>
        </w:rPr>
        <w:t xml:space="preserve">Textphone </w:t>
      </w:r>
      <w:r w:rsidRPr="009D0BF2">
        <w:rPr>
          <w:color w:val="000000"/>
        </w:rPr>
        <w:tab/>
        <w:t>0808 800 0084</w:t>
      </w:r>
    </w:p>
    <w:p w14:paraId="3BDCDA6C" w14:textId="77777777" w:rsidR="00B740F1" w:rsidRPr="009D0BF2" w:rsidRDefault="00B740F1" w:rsidP="004E2C9C">
      <w:pPr>
        <w:rPr>
          <w:color w:val="000000"/>
        </w:rPr>
      </w:pPr>
      <w:r>
        <w:rPr>
          <w:color w:val="000000"/>
        </w:rPr>
        <w:t xml:space="preserve">Hours </w:t>
      </w:r>
      <w:r>
        <w:rPr>
          <w:color w:val="000000"/>
        </w:rPr>
        <w:tab/>
      </w:r>
      <w:r>
        <w:rPr>
          <w:color w:val="000000"/>
        </w:rPr>
        <w:tab/>
        <w:t>09:00 to 19</w:t>
      </w:r>
      <w:r w:rsidRPr="009D0BF2">
        <w:rPr>
          <w:color w:val="000000"/>
        </w:rPr>
        <w:t>:00 (Monday to Friday)</w:t>
      </w:r>
    </w:p>
    <w:p w14:paraId="22B42AF7" w14:textId="77777777" w:rsidR="00B740F1" w:rsidRPr="009D0BF2" w:rsidRDefault="00B740F1" w:rsidP="004E2C9C">
      <w:pPr>
        <w:rPr>
          <w:color w:val="000000"/>
        </w:rPr>
      </w:pPr>
      <w:r w:rsidRPr="009D0BF2">
        <w:rPr>
          <w:color w:val="000000"/>
        </w:rPr>
        <w:tab/>
      </w:r>
      <w:r w:rsidRPr="009D0BF2">
        <w:rPr>
          <w:color w:val="000000"/>
        </w:rPr>
        <w:tab/>
        <w:t>10:00 to 14:00 (Saturday)</w:t>
      </w:r>
    </w:p>
    <w:p w14:paraId="74E11560" w14:textId="77777777" w:rsidR="00B740F1" w:rsidRPr="004E2C9C" w:rsidRDefault="00B740F1" w:rsidP="004E2C9C">
      <w:pPr>
        <w:rPr>
          <w:color w:val="000000"/>
        </w:rPr>
      </w:pPr>
      <w:r w:rsidRPr="009D0BF2">
        <w:rPr>
          <w:color w:val="000000"/>
        </w:rPr>
        <w:t xml:space="preserve">Post </w:t>
      </w:r>
      <w:r w:rsidRPr="009D0BF2">
        <w:rPr>
          <w:color w:val="000000"/>
        </w:rPr>
        <w:tab/>
      </w:r>
      <w:r w:rsidRPr="009D0BF2">
        <w:rPr>
          <w:color w:val="000000"/>
        </w:rPr>
        <w:tab/>
        <w:t xml:space="preserve">FREEPOST </w:t>
      </w:r>
      <w:r>
        <w:rPr>
          <w:color w:val="000000"/>
        </w:rPr>
        <w:t xml:space="preserve">EASS HELPLINE </w:t>
      </w:r>
      <w:r w:rsidRPr="009D0BF2">
        <w:rPr>
          <w:color w:val="000000"/>
        </w:rPr>
        <w:t>FPN</w:t>
      </w:r>
      <w:r>
        <w:rPr>
          <w:color w:val="000000"/>
        </w:rPr>
        <w:t>6521</w:t>
      </w:r>
    </w:p>
    <w:p w14:paraId="79FE074C" w14:textId="6D86E9F7" w:rsidR="00B740F1" w:rsidRPr="009D0BF2" w:rsidRDefault="00B740F1" w:rsidP="004E2C9C">
      <w:pPr>
        <w:spacing w:before="400"/>
      </w:pPr>
      <w:r w:rsidRPr="00DC0252">
        <w:t xml:space="preserve">© </w:t>
      </w:r>
      <w:r w:rsidR="00DC0252" w:rsidRPr="00DC0252">
        <w:t>2021</w:t>
      </w:r>
      <w:r w:rsidRPr="00DC0252">
        <w:t xml:space="preserve"> Equality</w:t>
      </w:r>
      <w:r w:rsidRPr="009D0BF2">
        <w:t xml:space="preserve"> and Human Rights Commission</w:t>
      </w:r>
    </w:p>
    <w:p w14:paraId="216ADF87" w14:textId="0B969CA5" w:rsidR="00B740F1" w:rsidRDefault="00B740F1" w:rsidP="004E2C9C">
      <w:r>
        <w:t xml:space="preserve">Published </w:t>
      </w:r>
      <w:r w:rsidR="00BD17F0">
        <w:t>May 2021</w:t>
      </w:r>
    </w:p>
    <w:p w14:paraId="1C0E0DB2" w14:textId="38636EE9" w:rsidR="00155E46" w:rsidRPr="00B740F1" w:rsidRDefault="00B740F1" w:rsidP="004E2C9C">
      <w:pPr>
        <w:rPr>
          <w:b/>
        </w:rPr>
      </w:pPr>
      <w:r>
        <w:t xml:space="preserve">ISBN: </w:t>
      </w:r>
      <w:r w:rsidR="00BD17F0" w:rsidRPr="00BD17F0">
        <w:t>978-1-84206-845-8</w:t>
      </w:r>
    </w:p>
    <w:sectPr w:rsidR="00155E46" w:rsidRPr="00B740F1" w:rsidSect="00FB7D65">
      <w:headerReference w:type="even" r:id="rId17"/>
      <w:headerReference w:type="default" r:id="rId18"/>
      <w:footerReference w:type="even" r:id="rId19"/>
      <w:footerReference w:type="default" r:id="rId20"/>
      <w:headerReference w:type="first" r:id="rId21"/>
      <w:footerReference w:type="first" r:id="rId22"/>
      <w:pgSz w:w="11906" w:h="16838"/>
      <w:pgMar w:top="1814" w:right="1644" w:bottom="567" w:left="1644" w:header="340" w:footer="454" w:gutter="0"/>
      <w:pgNumType w:start="0"/>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D947" w16cex:dateUtc="2021-03-15T13:01:00Z"/>
  <w16cex:commentExtensible w16cex:durableId="23F9E565" w16cex:dateUtc="2021-03-15T13:53:00Z"/>
  <w16cex:commentExtensible w16cex:durableId="23F9EA92" w16cex:dateUtc="2021-03-15T14:15:00Z"/>
  <w16cex:commentExtensible w16cex:durableId="23FADD29" w16cex:dateUtc="2021-03-16T07:30:00Z"/>
  <w16cex:commentExtensible w16cex:durableId="23FAE1EC" w16cex:dateUtc="2021-03-16T07:51:00Z"/>
  <w16cex:commentExtensible w16cex:durableId="23FAE489" w16cex:dateUtc="2021-03-16T08:02:00Z"/>
  <w16cex:commentExtensible w16cex:durableId="23FB0F67" w16cex:dateUtc="2021-03-16T11:05:00Z"/>
  <w16cex:commentExtensible w16cex:durableId="23FB1144" w16cex:dateUtc="2021-03-16T11:13:00Z"/>
  <w16cex:commentExtensible w16cex:durableId="23FB1622" w16cex:dateUtc="2021-03-16T11:33:00Z"/>
  <w16cex:commentExtensible w16cex:durableId="23FB1998" w16cex:dateUtc="2021-03-16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10C769" w16cid:durableId="23F59BBE"/>
  <w16cid:commentId w16cid:paraId="48A1193C" w16cid:durableId="23F59BBF"/>
  <w16cid:commentId w16cid:paraId="6751EC69" w16cid:durableId="23F59BC0"/>
  <w16cid:commentId w16cid:paraId="5DB63C82" w16cid:durableId="23F59BC1"/>
  <w16cid:commentId w16cid:paraId="02C20823" w16cid:durableId="23F59BC2"/>
  <w16cid:commentId w16cid:paraId="51500E27" w16cid:durableId="23F9D947"/>
  <w16cid:commentId w16cid:paraId="5AB86CF5" w16cid:durableId="23F59BC3"/>
  <w16cid:commentId w16cid:paraId="1493F6F1" w16cid:durableId="23F9E565"/>
  <w16cid:commentId w16cid:paraId="4B596F6B" w16cid:durableId="23F9EA92"/>
  <w16cid:commentId w16cid:paraId="24398D80" w16cid:durableId="23F59BC4"/>
  <w16cid:commentId w16cid:paraId="77DE635A" w16cid:durableId="23F59BC5"/>
  <w16cid:commentId w16cid:paraId="29965EC5" w16cid:durableId="23F59BC6"/>
  <w16cid:commentId w16cid:paraId="57EC187A" w16cid:durableId="23F59BC7"/>
  <w16cid:commentId w16cid:paraId="3EC630E8" w16cid:durableId="23F59BC8"/>
  <w16cid:commentId w16cid:paraId="568C463C" w16cid:durableId="23FADD29"/>
  <w16cid:commentId w16cid:paraId="7BEAAC76" w16cid:durableId="23FAE1EC"/>
  <w16cid:commentId w16cid:paraId="4A72C37C" w16cid:durableId="23FAE489"/>
  <w16cid:commentId w16cid:paraId="06115AD3" w16cid:durableId="23F59BC9"/>
  <w16cid:commentId w16cid:paraId="62D5F358" w16cid:durableId="23F59BCA"/>
  <w16cid:commentId w16cid:paraId="44E554A1" w16cid:durableId="23F59BCB"/>
  <w16cid:commentId w16cid:paraId="22796DC3" w16cid:durableId="23FB0F67"/>
  <w16cid:commentId w16cid:paraId="0D33F344" w16cid:durableId="23FB1144"/>
  <w16cid:commentId w16cid:paraId="2DA6A0CC" w16cid:durableId="23F59BCC"/>
  <w16cid:commentId w16cid:paraId="2E60886C" w16cid:durableId="23FB1622"/>
  <w16cid:commentId w16cid:paraId="7EEC74F6" w16cid:durableId="23FB19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187FC" w14:textId="77777777" w:rsidR="001B7D9C" w:rsidRDefault="001B7D9C" w:rsidP="005E4512">
      <w:r>
        <w:separator/>
      </w:r>
    </w:p>
    <w:p w14:paraId="4FEA8EC3" w14:textId="77777777" w:rsidR="001B7D9C" w:rsidRDefault="001B7D9C"/>
  </w:endnote>
  <w:endnote w:type="continuationSeparator" w:id="0">
    <w:p w14:paraId="122F6E77" w14:textId="77777777" w:rsidR="001B7D9C" w:rsidRDefault="001B7D9C" w:rsidP="005E4512">
      <w:r>
        <w:continuationSeparator/>
      </w:r>
    </w:p>
    <w:p w14:paraId="40AD8467" w14:textId="77777777" w:rsidR="001B7D9C" w:rsidRDefault="001B7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AFE1E" w14:textId="77777777" w:rsidR="00193935" w:rsidRDefault="00193935">
    <w:pPr>
      <w:pStyle w:val="Footer"/>
    </w:pPr>
  </w:p>
  <w:p w14:paraId="6EE38BDA" w14:textId="77777777" w:rsidR="00193935" w:rsidRDefault="00193935"/>
  <w:p w14:paraId="2A792AEC" w14:textId="77777777" w:rsidR="00193935" w:rsidRDefault="001939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C9F0" w14:textId="66FF52A4" w:rsidR="00193935" w:rsidRPr="00FB7D65" w:rsidRDefault="001B7D9C"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193935" w:rsidRPr="00325310">
          <w:fldChar w:fldCharType="begin"/>
        </w:r>
        <w:r w:rsidR="00193935" w:rsidRPr="00325310">
          <w:instrText xml:space="preserve"> PAGE   \* MERGEFORMAT </w:instrText>
        </w:r>
        <w:r w:rsidR="00193935" w:rsidRPr="00325310">
          <w:fldChar w:fldCharType="separate"/>
        </w:r>
        <w:r w:rsidR="00F32779">
          <w:rPr>
            <w:noProof/>
          </w:rPr>
          <w:t>5</w:t>
        </w:r>
        <w:r w:rsidR="00193935"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6DE92" w14:textId="77777777" w:rsidR="00193935" w:rsidRPr="00CF43D8" w:rsidRDefault="001B7D9C" w:rsidP="00A329F4">
    <w:pPr>
      <w:pStyle w:val="Footer"/>
      <w:ind w:right="-880"/>
      <w:jc w:val="right"/>
      <w:rPr>
        <w:b/>
        <w:color w:val="009C98" w:themeColor="accent1"/>
      </w:rPr>
    </w:pPr>
    <w:hyperlink r:id="rId1" w:history="1">
      <w:r w:rsidR="00193935" w:rsidRPr="00CF43D8">
        <w:rPr>
          <w:rStyle w:val="Hyperlink"/>
          <w:b/>
          <w:color w:val="009C98" w:themeColor="accent1"/>
          <w:u w:val="none"/>
        </w:rPr>
        <w:t>equalityhumanrights.com</w:t>
      </w:r>
    </w:hyperlink>
  </w:p>
  <w:p w14:paraId="484528C2" w14:textId="77777777" w:rsidR="00193935" w:rsidRDefault="00193935"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41916" w14:textId="77777777" w:rsidR="001B7D9C" w:rsidRPr="00A91B02" w:rsidRDefault="001B7D9C" w:rsidP="00A91B02">
      <w:pPr>
        <w:pStyle w:val="Footer"/>
        <w:pBdr>
          <w:between w:val="single" w:sz="18" w:space="1" w:color="009C98" w:themeColor="accent1"/>
        </w:pBdr>
      </w:pPr>
      <w:r>
        <w:separator/>
      </w:r>
    </w:p>
    <w:p w14:paraId="2B4317C4" w14:textId="77777777" w:rsidR="001B7D9C" w:rsidRDefault="001B7D9C"/>
  </w:footnote>
  <w:footnote w:type="continuationSeparator" w:id="0">
    <w:p w14:paraId="653E6A48" w14:textId="77777777" w:rsidR="001B7D9C" w:rsidRDefault="001B7D9C" w:rsidP="005E4512">
      <w:r>
        <w:continuationSeparator/>
      </w:r>
    </w:p>
    <w:p w14:paraId="26802ADE" w14:textId="77777777" w:rsidR="001B7D9C" w:rsidRDefault="001B7D9C"/>
  </w:footnote>
  <w:footnote w:id="1">
    <w:p w14:paraId="2C540D3E" w14:textId="1BE6192D" w:rsidR="00193935" w:rsidRPr="00F32779" w:rsidRDefault="00193935" w:rsidP="004E5FC2">
      <w:pPr>
        <w:pStyle w:val="FootnoteText"/>
        <w:rPr>
          <w:rFonts w:cs="Arial"/>
          <w:szCs w:val="24"/>
          <w:u w:val="single" w:color="009C98" w:themeColor="accent1"/>
        </w:rPr>
      </w:pPr>
      <w:bookmarkStart w:id="9" w:name="_Hlk66697976"/>
      <w:r w:rsidRPr="005A6C22">
        <w:rPr>
          <w:rStyle w:val="FootnoteReference"/>
          <w:rFonts w:cs="Arial"/>
          <w:szCs w:val="24"/>
        </w:rPr>
        <w:footnoteRef/>
      </w:r>
      <w:r w:rsidRPr="005A6C22">
        <w:rPr>
          <w:rFonts w:cs="Arial"/>
          <w:szCs w:val="24"/>
        </w:rPr>
        <w:t xml:space="preserve"> </w:t>
      </w:r>
      <w:bookmarkStart w:id="10" w:name="_Hlk66698048"/>
      <w:r w:rsidRPr="005A6C22">
        <w:rPr>
          <w:rFonts w:cs="Arial"/>
          <w:szCs w:val="24"/>
        </w:rPr>
        <w:t xml:space="preserve"> </w:t>
      </w:r>
      <w:hyperlink r:id="rId1" w:history="1">
        <w:r w:rsidRPr="00A0420B">
          <w:rPr>
            <w:rStyle w:val="Hyperlink"/>
            <w:rFonts w:cs="Arial"/>
            <w:color w:val="0B4E60" w:themeColor="text2"/>
            <w:szCs w:val="24"/>
            <w:u w:val="none"/>
          </w:rPr>
          <w:t xml:space="preserve">UN Committee on the Rights of Persons with Disabilities (2017), </w:t>
        </w:r>
        <w:r w:rsidRPr="0096740E">
          <w:rPr>
            <w:rStyle w:val="Hyperlink"/>
            <w:rFonts w:cs="Arial"/>
            <w:color w:val="0B4E60" w:themeColor="text2"/>
            <w:szCs w:val="24"/>
          </w:rPr>
          <w:t>General comment No. 5 (2017) on living independently and being included in the communit</w:t>
        </w:r>
        <w:bookmarkEnd w:id="9"/>
        <w:bookmarkEnd w:id="10"/>
        <w:r w:rsidRPr="0096740E">
          <w:rPr>
            <w:rStyle w:val="Hyperlink"/>
            <w:rFonts w:cs="Arial"/>
            <w:color w:val="0B4E60" w:themeColor="text2"/>
            <w:szCs w:val="24"/>
          </w:rPr>
          <w:t>y</w:t>
        </w:r>
        <w:r w:rsidRPr="00A0420B">
          <w:rPr>
            <w:rStyle w:val="Hyperlink"/>
            <w:rFonts w:cs="Arial"/>
            <w:color w:val="0B4E60" w:themeColor="text2"/>
            <w:szCs w:val="24"/>
            <w:u w:val="none"/>
          </w:rPr>
          <w:t xml:space="preserve"> [Accessed 5 May 2021].</w:t>
        </w:r>
      </w:hyperlink>
    </w:p>
  </w:footnote>
  <w:footnote w:id="2">
    <w:p w14:paraId="203E0AFD" w14:textId="48380B2A" w:rsidR="00193935" w:rsidRPr="001A78AA" w:rsidRDefault="00193935" w:rsidP="004E5FC2">
      <w:pPr>
        <w:pStyle w:val="FootnoteText"/>
        <w:rPr>
          <w:rFonts w:cs="Arial"/>
        </w:rPr>
      </w:pPr>
      <w:r w:rsidRPr="005A6C22">
        <w:rPr>
          <w:rStyle w:val="FootnoteReference"/>
          <w:rFonts w:cs="Arial"/>
          <w:szCs w:val="24"/>
        </w:rPr>
        <w:footnoteRef/>
      </w:r>
      <w:r w:rsidRPr="005A6C22">
        <w:rPr>
          <w:rFonts w:cs="Arial"/>
          <w:szCs w:val="24"/>
        </w:rPr>
        <w:t xml:space="preserve"> </w:t>
      </w:r>
      <w:bookmarkStart w:id="11" w:name="_Hlk66432032"/>
      <w:r w:rsidRPr="005A6C22">
        <w:rPr>
          <w:rFonts w:cs="Arial"/>
          <w:szCs w:val="24"/>
        </w:rPr>
        <w:t>I</w:t>
      </w:r>
      <w:r>
        <w:rPr>
          <w:rFonts w:cs="Arial"/>
          <w:szCs w:val="24"/>
        </w:rPr>
        <w:t xml:space="preserve">bid. </w:t>
      </w:r>
      <w:bookmarkEnd w:id="11"/>
    </w:p>
  </w:footnote>
  <w:footnote w:id="3">
    <w:p w14:paraId="073853B2" w14:textId="7804EB94" w:rsidR="00193935" w:rsidRPr="0096740E" w:rsidRDefault="00193935" w:rsidP="004E5FC2">
      <w:pPr>
        <w:pStyle w:val="FootnoteText"/>
        <w:rPr>
          <w:szCs w:val="24"/>
        </w:rPr>
      </w:pPr>
      <w:r w:rsidRPr="005A6C22">
        <w:rPr>
          <w:rStyle w:val="FootnoteReference"/>
          <w:rFonts w:ascii="Arial" w:hAnsi="Arial" w:cs="Arial"/>
          <w:szCs w:val="24"/>
        </w:rPr>
        <w:footnoteRef/>
      </w:r>
      <w:r w:rsidRPr="005A6C22">
        <w:rPr>
          <w:szCs w:val="24"/>
        </w:rPr>
        <w:t xml:space="preserve"> Welsh Government</w:t>
      </w:r>
      <w:r>
        <w:rPr>
          <w:szCs w:val="24"/>
        </w:rPr>
        <w:t xml:space="preserve"> (2019)</w:t>
      </w:r>
      <w:r w:rsidRPr="00A0420B">
        <w:rPr>
          <w:szCs w:val="24"/>
        </w:rPr>
        <w:t>,</w:t>
      </w:r>
      <w:r w:rsidR="00A0420B" w:rsidRPr="00A0420B">
        <w:rPr>
          <w:rFonts w:ascii="Arial" w:hAnsi="Arial" w:cs="Arial"/>
          <w:szCs w:val="24"/>
          <w:u w:color="009C98" w:themeColor="accent1"/>
        </w:rPr>
        <w:t xml:space="preserve"> </w:t>
      </w:r>
      <w:hyperlink r:id="rId2" w:history="1">
        <w:r w:rsidRPr="00A0420B">
          <w:rPr>
            <w:rStyle w:val="Hyperlink"/>
            <w:rFonts w:ascii="Arial" w:hAnsi="Arial" w:cs="Arial"/>
            <w:color w:val="0B4E60" w:themeColor="text2"/>
            <w:szCs w:val="24"/>
          </w:rPr>
          <w:t>Action on disability: The right to independent living</w:t>
        </w:r>
      </w:hyperlink>
      <w:r w:rsidR="00A0420B">
        <w:rPr>
          <w:rStyle w:val="Hyperlink"/>
          <w:rFonts w:ascii="Arial" w:hAnsi="Arial" w:cs="Arial"/>
          <w:color w:val="0B4E60" w:themeColor="text2"/>
          <w:szCs w:val="24"/>
          <w:u w:val="none"/>
        </w:rPr>
        <w:t xml:space="preserve"> [accessed 6 May 2021].</w:t>
      </w:r>
      <w:r w:rsidRPr="005A6C22">
        <w:rPr>
          <w:szCs w:val="24"/>
        </w:rPr>
        <w:t xml:space="preserve"> </w:t>
      </w:r>
      <w:r>
        <w:rPr>
          <w:szCs w:val="24"/>
        </w:rPr>
        <w:t xml:space="preserve">This sets out actions </w:t>
      </w:r>
      <w:r w:rsidRPr="005A6C22">
        <w:rPr>
          <w:szCs w:val="24"/>
        </w:rPr>
        <w:t xml:space="preserve">to </w:t>
      </w:r>
      <w:r>
        <w:rPr>
          <w:szCs w:val="24"/>
        </w:rPr>
        <w:t xml:space="preserve">tackle </w:t>
      </w:r>
      <w:r w:rsidRPr="00A563B9">
        <w:rPr>
          <w:szCs w:val="24"/>
        </w:rPr>
        <w:t>key barriers identified by disabled people, including in transport, employment and housing, and access to buildings and public spaces.</w:t>
      </w:r>
      <w:r>
        <w:rPr>
          <w:szCs w:val="24"/>
        </w:rPr>
        <w:t xml:space="preserve"> It </w:t>
      </w:r>
      <w:r w:rsidRPr="005A6C22">
        <w:rPr>
          <w:szCs w:val="24"/>
        </w:rPr>
        <w:t>replace</w:t>
      </w:r>
      <w:r>
        <w:rPr>
          <w:szCs w:val="24"/>
        </w:rPr>
        <w:t>s the</w:t>
      </w:r>
      <w:r w:rsidRPr="005A6C22">
        <w:rPr>
          <w:szCs w:val="24"/>
        </w:rPr>
        <w:t xml:space="preserve"> </w:t>
      </w:r>
      <w:r w:rsidRPr="0096740E">
        <w:rPr>
          <w:szCs w:val="24"/>
        </w:rPr>
        <w:t xml:space="preserve">previous </w:t>
      </w:r>
      <w:hyperlink r:id="rId3" w:history="1">
        <w:r w:rsidRPr="0096740E">
          <w:rPr>
            <w:rStyle w:val="Hyperlink"/>
            <w:rFonts w:ascii="Arial" w:hAnsi="Arial" w:cs="Arial"/>
            <w:color w:val="0B4E60" w:themeColor="text2"/>
            <w:szCs w:val="24"/>
          </w:rPr>
          <w:t>Framework for action on independent living</w:t>
        </w:r>
        <w:r w:rsidRPr="00A0420B">
          <w:rPr>
            <w:rStyle w:val="Hyperlink"/>
            <w:rFonts w:ascii="Arial" w:hAnsi="Arial" w:cs="Arial"/>
            <w:color w:val="0B4E60" w:themeColor="text2"/>
            <w:szCs w:val="24"/>
            <w:u w:val="none"/>
          </w:rPr>
          <w:t>.</w:t>
        </w:r>
      </w:hyperlink>
    </w:p>
  </w:footnote>
  <w:footnote w:id="4">
    <w:p w14:paraId="16EF8798" w14:textId="42AF5BBD" w:rsidR="00193935" w:rsidRPr="005A6C22" w:rsidRDefault="00193935" w:rsidP="004E5FC2">
      <w:pPr>
        <w:pStyle w:val="FootnoteText"/>
        <w:spacing w:line="259" w:lineRule="auto"/>
        <w:rPr>
          <w:rFonts w:cs="Arial"/>
          <w:szCs w:val="24"/>
        </w:rPr>
      </w:pPr>
      <w:r w:rsidRPr="005A6C22">
        <w:rPr>
          <w:rStyle w:val="FootnoteReference"/>
          <w:rFonts w:cs="Arial"/>
          <w:szCs w:val="24"/>
        </w:rPr>
        <w:footnoteRef/>
      </w:r>
      <w:r w:rsidRPr="005A6C22">
        <w:rPr>
          <w:rFonts w:cs="Arial"/>
          <w:szCs w:val="24"/>
        </w:rPr>
        <w:t xml:space="preserve"> </w:t>
      </w:r>
      <w:r>
        <w:rPr>
          <w:rFonts w:cs="Arial"/>
          <w:szCs w:val="24"/>
        </w:rPr>
        <w:t xml:space="preserve">In Scotland, a </w:t>
      </w:r>
      <w:hyperlink r:id="rId4" w:history="1">
        <w:r w:rsidRPr="0096740E">
          <w:rPr>
            <w:rStyle w:val="Hyperlink"/>
            <w:rFonts w:cs="Arial"/>
            <w:color w:val="0B4E60" w:themeColor="text2"/>
            <w:szCs w:val="24"/>
          </w:rPr>
          <w:t>National Taskforce for Human Rights Leadership</w:t>
        </w:r>
      </w:hyperlink>
      <w:r w:rsidRPr="0096740E">
        <w:rPr>
          <w:rFonts w:cs="Arial"/>
          <w:szCs w:val="24"/>
        </w:rPr>
        <w:t xml:space="preserve"> </w:t>
      </w:r>
      <w:r>
        <w:rPr>
          <w:rFonts w:cs="Arial"/>
          <w:szCs w:val="24"/>
        </w:rPr>
        <w:t xml:space="preserve">has been established to </w:t>
      </w:r>
      <w:r w:rsidRPr="005A6C22">
        <w:rPr>
          <w:rFonts w:cs="Arial"/>
          <w:szCs w:val="24"/>
        </w:rPr>
        <w:t>develop a</w:t>
      </w:r>
      <w:r>
        <w:rPr>
          <w:rFonts w:cs="Arial"/>
          <w:szCs w:val="24"/>
        </w:rPr>
        <w:t xml:space="preserve"> new</w:t>
      </w:r>
      <w:r w:rsidRPr="005A6C22">
        <w:rPr>
          <w:rFonts w:cs="Arial"/>
          <w:szCs w:val="24"/>
        </w:rPr>
        <w:t xml:space="preserve"> statutory framework to improve human rights protections</w:t>
      </w:r>
      <w:r>
        <w:rPr>
          <w:rFonts w:cs="Arial"/>
          <w:szCs w:val="24"/>
        </w:rPr>
        <w:t xml:space="preserve"> in Scotland</w:t>
      </w:r>
      <w:r w:rsidRPr="005A6C22">
        <w:rPr>
          <w:rFonts w:cs="Arial"/>
          <w:szCs w:val="24"/>
        </w:rPr>
        <w:t xml:space="preserve">, including disability rights. </w:t>
      </w:r>
    </w:p>
  </w:footnote>
  <w:footnote w:id="5">
    <w:p w14:paraId="37890B2D" w14:textId="3F87F896" w:rsidR="00193935" w:rsidRPr="001A78AA" w:rsidRDefault="00193935" w:rsidP="004E5FC2">
      <w:pPr>
        <w:pStyle w:val="FootnoteText"/>
        <w:rPr>
          <w:rFonts w:cs="Arial"/>
        </w:rPr>
      </w:pPr>
      <w:r w:rsidRPr="005A6C22">
        <w:rPr>
          <w:rStyle w:val="FootnoteReference"/>
          <w:rFonts w:cs="Arial"/>
          <w:szCs w:val="24"/>
        </w:rPr>
        <w:footnoteRef/>
      </w:r>
      <w:r w:rsidRPr="005A6C22">
        <w:rPr>
          <w:rFonts w:cs="Arial"/>
          <w:szCs w:val="24"/>
        </w:rPr>
        <w:t xml:space="preserve"> Department for Work and Pensions (2020), </w:t>
      </w:r>
      <w:hyperlink r:id="rId5" w:history="1">
        <w:r w:rsidRPr="00AF2F9A">
          <w:rPr>
            <w:rStyle w:val="Hyperlink"/>
            <w:rFonts w:cs="Arial"/>
            <w:color w:val="0B4E60" w:themeColor="text2"/>
            <w:szCs w:val="24"/>
          </w:rPr>
          <w:t>Family Resources Survey: financial year 2018/19</w:t>
        </w:r>
      </w:hyperlink>
      <w:r w:rsidR="00A0420B">
        <w:rPr>
          <w:rStyle w:val="Hyperlink"/>
          <w:rFonts w:cs="Arial"/>
          <w:color w:val="0B4E60" w:themeColor="text2"/>
          <w:szCs w:val="24"/>
        </w:rPr>
        <w:t xml:space="preserve"> </w:t>
      </w:r>
      <w:r w:rsidR="00A0420B" w:rsidRPr="00A0420B">
        <w:rPr>
          <w:rStyle w:val="Hyperlink"/>
          <w:rFonts w:cs="Arial"/>
          <w:color w:val="0B4E60" w:themeColor="text2"/>
          <w:szCs w:val="24"/>
          <w:u w:val="none"/>
        </w:rPr>
        <w:t>[accessed 6 May 2021]</w:t>
      </w:r>
      <w:r w:rsidRPr="00A0420B">
        <w:rPr>
          <w:rFonts w:cs="Arial"/>
          <w:szCs w:val="24"/>
        </w:rPr>
        <w:t>.</w:t>
      </w:r>
    </w:p>
  </w:footnote>
  <w:footnote w:id="6">
    <w:p w14:paraId="45494444" w14:textId="25BAF67F" w:rsidR="00193935" w:rsidRPr="00A0420B" w:rsidRDefault="00193935">
      <w:pPr>
        <w:pStyle w:val="FootnoteText"/>
      </w:pPr>
      <w:r w:rsidRPr="005A6C22">
        <w:rPr>
          <w:rStyle w:val="FootnoteReference"/>
          <w:szCs w:val="24"/>
        </w:rPr>
        <w:footnoteRef/>
      </w:r>
      <w:r w:rsidRPr="005A6C22">
        <w:rPr>
          <w:szCs w:val="24"/>
        </w:rPr>
        <w:t xml:space="preserve"> </w:t>
      </w:r>
      <w:bookmarkStart w:id="17" w:name="_Hlk66698116"/>
      <w:bookmarkStart w:id="18" w:name="_Hlk66435117"/>
      <w:r w:rsidRPr="00210C0B">
        <w:rPr>
          <w:szCs w:val="24"/>
        </w:rPr>
        <w:t xml:space="preserve">UN </w:t>
      </w:r>
      <w:hyperlink r:id="rId6" w:history="1">
        <w:r w:rsidRPr="00A0420B">
          <w:rPr>
            <w:rStyle w:val="Hyperlink"/>
            <w:color w:val="0B4E60" w:themeColor="text2"/>
            <w:szCs w:val="24"/>
            <w:u w:val="none"/>
          </w:rPr>
          <w:t xml:space="preserve">Committee on the Rights of Persons with Disabilities, </w:t>
        </w:r>
        <w:r w:rsidRPr="00210C0B">
          <w:rPr>
            <w:rStyle w:val="Hyperlink"/>
            <w:color w:val="0B4E60" w:themeColor="text2"/>
            <w:szCs w:val="24"/>
          </w:rPr>
          <w:t>Optional Protocol to the Convention on the Rights of Persons with Disabilities</w:t>
        </w:r>
        <w:r w:rsidR="00A0420B">
          <w:rPr>
            <w:rStyle w:val="Hyperlink"/>
            <w:color w:val="0B4E60" w:themeColor="text2"/>
            <w:szCs w:val="24"/>
          </w:rPr>
          <w:t xml:space="preserve"> </w:t>
        </w:r>
        <w:r w:rsidR="00A0420B" w:rsidRPr="00A0420B">
          <w:rPr>
            <w:rStyle w:val="Hyperlink"/>
            <w:color w:val="0B4E60" w:themeColor="text2"/>
            <w:szCs w:val="24"/>
            <w:u w:val="none"/>
          </w:rPr>
          <w:t>[accessed 6 May 2021]</w:t>
        </w:r>
        <w:r w:rsidRPr="00A0420B">
          <w:rPr>
            <w:rStyle w:val="Hyperlink"/>
            <w:color w:val="0B4E60" w:themeColor="text2"/>
            <w:szCs w:val="24"/>
            <w:u w:val="none"/>
          </w:rPr>
          <w:t>.</w:t>
        </w:r>
      </w:hyperlink>
      <w:r w:rsidRPr="00210C0B">
        <w:rPr>
          <w:szCs w:val="24"/>
        </w:rPr>
        <w:t xml:space="preserve"> </w:t>
      </w:r>
      <w:bookmarkEnd w:id="17"/>
      <w:r w:rsidRPr="00210C0B">
        <w:rPr>
          <w:szCs w:val="24"/>
        </w:rPr>
        <w:t xml:space="preserve">See also: UN Office of the High Commissioner for Human Rights (2014), </w:t>
      </w:r>
      <w:hyperlink r:id="rId7" w:history="1">
        <w:r w:rsidRPr="00210C0B">
          <w:rPr>
            <w:rStyle w:val="Hyperlink"/>
            <w:color w:val="0B4E60" w:themeColor="text2"/>
            <w:szCs w:val="24"/>
          </w:rPr>
          <w:t>The Convention on the Rights of Persons with Disabilities: Training guide</w:t>
        </w:r>
      </w:hyperlink>
      <w:r w:rsidR="00A0420B">
        <w:rPr>
          <w:rStyle w:val="Hyperlink"/>
          <w:color w:val="0B4E60" w:themeColor="text2"/>
          <w:szCs w:val="24"/>
        </w:rPr>
        <w:t xml:space="preserve"> </w:t>
      </w:r>
      <w:r w:rsidR="00A0420B" w:rsidRPr="00A0420B">
        <w:rPr>
          <w:rStyle w:val="Hyperlink"/>
          <w:color w:val="0B4E60" w:themeColor="text2"/>
          <w:szCs w:val="24"/>
          <w:u w:val="none"/>
        </w:rPr>
        <w:t>[accessed 6 May 2021]</w:t>
      </w:r>
      <w:r w:rsidR="00A0420B">
        <w:rPr>
          <w:rStyle w:val="Hyperlink"/>
          <w:color w:val="0B4E60" w:themeColor="text2"/>
          <w:szCs w:val="24"/>
          <w:u w:val="none"/>
        </w:rPr>
        <w:t>.</w:t>
      </w:r>
      <w:r w:rsidRPr="00A0420B">
        <w:rPr>
          <w:rStyle w:val="Hyperlink"/>
          <w:color w:val="0B4E60" w:themeColor="text2"/>
          <w:szCs w:val="24"/>
          <w:u w:val="none"/>
        </w:rPr>
        <w:t xml:space="preserve"> </w:t>
      </w:r>
      <w:bookmarkStart w:id="19" w:name="_Hlk66435463"/>
      <w:bookmarkEnd w:id="18"/>
    </w:p>
    <w:bookmarkEnd w:id="19"/>
  </w:footnote>
  <w:footnote w:id="7">
    <w:p w14:paraId="15494974" w14:textId="281210C4" w:rsidR="00193935" w:rsidRDefault="00193935">
      <w:pPr>
        <w:pStyle w:val="FootnoteText"/>
      </w:pPr>
      <w:r>
        <w:rPr>
          <w:rStyle w:val="FootnoteReference"/>
        </w:rPr>
        <w:footnoteRef/>
      </w:r>
      <w:r>
        <w:t xml:space="preserve"> </w:t>
      </w:r>
      <w:r w:rsidRPr="00210C0B">
        <w:t xml:space="preserve">UN </w:t>
      </w:r>
      <w:r w:rsidRPr="00210C0B">
        <w:rPr>
          <w:rFonts w:cs="Arial"/>
          <w:szCs w:val="24"/>
        </w:rPr>
        <w:t xml:space="preserve">Committee on the Rights of Persons with Disabilities (2017), </w:t>
      </w:r>
      <w:hyperlink r:id="rId8" w:history="1">
        <w:r w:rsidRPr="00210C0B">
          <w:rPr>
            <w:rStyle w:val="Hyperlink"/>
            <w:rFonts w:cs="Arial"/>
            <w:bCs/>
            <w:color w:val="0B4E60" w:themeColor="text2"/>
            <w:szCs w:val="24"/>
          </w:rPr>
          <w:t>Inquiry concerning the United Kingdom of Great Britain and Northern Ireland carried out by the Committee under article 6 of the Optional Protocol to the Convention</w:t>
        </w:r>
      </w:hyperlink>
      <w:r w:rsidR="00A0420B">
        <w:rPr>
          <w:rStyle w:val="Hyperlink"/>
          <w:rFonts w:cs="Arial"/>
          <w:bCs/>
          <w:color w:val="0B4E60" w:themeColor="text2"/>
          <w:szCs w:val="24"/>
        </w:rPr>
        <w:t xml:space="preserve"> </w:t>
      </w:r>
      <w:r w:rsidR="00A0420B" w:rsidRPr="00A0420B">
        <w:rPr>
          <w:rStyle w:val="Hyperlink"/>
          <w:rFonts w:cs="Arial"/>
          <w:bCs/>
          <w:color w:val="0B4E60" w:themeColor="text2"/>
          <w:szCs w:val="24"/>
          <w:u w:val="none"/>
        </w:rPr>
        <w:t>[accessed 6 May 2021].</w:t>
      </w:r>
    </w:p>
  </w:footnote>
  <w:footnote w:id="8">
    <w:p w14:paraId="0AC2D11D" w14:textId="6E950BD9" w:rsidR="00193935" w:rsidRPr="005A6C22" w:rsidDel="00FE4E1C" w:rsidRDefault="00193935" w:rsidP="00FB01DE">
      <w:pPr>
        <w:pStyle w:val="FootnoteText"/>
        <w:rPr>
          <w:rFonts w:cs="Arial"/>
          <w:szCs w:val="24"/>
        </w:rPr>
      </w:pPr>
      <w:r w:rsidRPr="005A6C22">
        <w:rPr>
          <w:rStyle w:val="FootnoteReference"/>
          <w:rFonts w:cs="Arial"/>
          <w:szCs w:val="24"/>
        </w:rPr>
        <w:footnoteRef/>
      </w:r>
      <w:r w:rsidRPr="005A6C22">
        <w:rPr>
          <w:rFonts w:cs="Arial"/>
          <w:szCs w:val="24"/>
        </w:rPr>
        <w:t xml:space="preserve"> </w:t>
      </w:r>
      <w:r w:rsidRPr="00556DBB">
        <w:rPr>
          <w:rFonts w:cs="Arial"/>
          <w:szCs w:val="24"/>
        </w:rPr>
        <w:t xml:space="preserve">UN </w:t>
      </w:r>
      <w:hyperlink r:id="rId9" w:history="1">
        <w:r w:rsidRPr="00460C39">
          <w:rPr>
            <w:rStyle w:val="Hyperlink"/>
            <w:rFonts w:cs="Arial"/>
            <w:color w:val="0B4E60" w:themeColor="text2"/>
            <w:szCs w:val="24"/>
            <w:u w:val="none"/>
          </w:rPr>
          <w:t xml:space="preserve">Committee on the Rights of Persons with Disabilities (2017), </w:t>
        </w:r>
        <w:r w:rsidRPr="00556DBB">
          <w:rPr>
            <w:rStyle w:val="Hyperlink"/>
            <w:rFonts w:cs="Arial"/>
            <w:bCs/>
            <w:color w:val="0B4E60" w:themeColor="text2"/>
            <w:szCs w:val="24"/>
          </w:rPr>
          <w:t>Inquiry concerning the United Kingdom of Great Britain and Northern Ireland carried out by the Committee under article 6 of the Optional Protocol to the Convention</w:t>
        </w:r>
      </w:hyperlink>
      <w:r w:rsidRPr="00556DBB">
        <w:rPr>
          <w:rStyle w:val="Hyperlink"/>
          <w:rFonts w:cs="Arial"/>
          <w:bCs/>
          <w:color w:val="0B4E60" w:themeColor="text2"/>
          <w:szCs w:val="24"/>
        </w:rPr>
        <w:t xml:space="preserve"> </w:t>
      </w:r>
      <w:r w:rsidR="00460C39">
        <w:rPr>
          <w:rFonts w:cs="Arial"/>
          <w:szCs w:val="24"/>
        </w:rPr>
        <w:t>[a</w:t>
      </w:r>
      <w:r w:rsidRPr="00556DBB">
        <w:rPr>
          <w:rFonts w:cs="Arial"/>
          <w:szCs w:val="24"/>
        </w:rPr>
        <w:t xml:space="preserve">ccessed 5 May 2021]. See also </w:t>
      </w:r>
      <w:hyperlink r:id="rId10" w:history="1">
        <w:r w:rsidRPr="00460C39">
          <w:rPr>
            <w:rStyle w:val="Hyperlink"/>
            <w:rFonts w:cs="Arial"/>
            <w:color w:val="0B4E60" w:themeColor="text2"/>
            <w:szCs w:val="24"/>
            <w:u w:val="none"/>
          </w:rPr>
          <w:t>Equality and Human Rights Commission,</w:t>
        </w:r>
        <w:r w:rsidRPr="00556DBB">
          <w:rPr>
            <w:rStyle w:val="Hyperlink"/>
            <w:rFonts w:cs="Arial"/>
            <w:color w:val="0B4E60" w:themeColor="text2"/>
            <w:szCs w:val="24"/>
          </w:rPr>
          <w:t xml:space="preserve"> Independent living – UK Government assessment (2020)</w:t>
        </w:r>
      </w:hyperlink>
      <w:r w:rsidR="00460C39">
        <w:rPr>
          <w:rFonts w:cs="Arial"/>
          <w:szCs w:val="24"/>
        </w:rPr>
        <w:t xml:space="preserve"> [a</w:t>
      </w:r>
      <w:r w:rsidRPr="00556DBB">
        <w:rPr>
          <w:rFonts w:cs="Arial"/>
          <w:szCs w:val="24"/>
        </w:rPr>
        <w:t xml:space="preserve">ccessed 5 May 2021]. </w:t>
      </w:r>
    </w:p>
  </w:footnote>
  <w:footnote w:id="9">
    <w:p w14:paraId="0E875B96" w14:textId="2AEDC680" w:rsidR="00193935" w:rsidRPr="005A6C22" w:rsidRDefault="00193935">
      <w:pPr>
        <w:pStyle w:val="FootnoteText"/>
        <w:rPr>
          <w:szCs w:val="24"/>
        </w:rPr>
      </w:pPr>
      <w:r w:rsidRPr="005A6C22">
        <w:rPr>
          <w:rStyle w:val="FootnoteReference"/>
          <w:szCs w:val="24"/>
        </w:rPr>
        <w:footnoteRef/>
      </w:r>
      <w:r w:rsidRPr="005A6C22">
        <w:rPr>
          <w:szCs w:val="24"/>
        </w:rPr>
        <w:t xml:space="preserve"> </w:t>
      </w:r>
      <w:bookmarkStart w:id="23" w:name="_Hlk66439732"/>
      <w:r>
        <w:rPr>
          <w:szCs w:val="24"/>
        </w:rPr>
        <w:t xml:space="preserve">UN </w:t>
      </w:r>
      <w:hyperlink r:id="rId11" w:history="1">
        <w:r w:rsidRPr="00460C39">
          <w:rPr>
            <w:rStyle w:val="Hyperlink"/>
            <w:color w:val="0B4E60" w:themeColor="text2"/>
            <w:szCs w:val="24"/>
            <w:u w:val="none"/>
          </w:rPr>
          <w:t xml:space="preserve">Committee on the Rights of Persons with Disabilities (2018), </w:t>
        </w:r>
        <w:r w:rsidRPr="00FF13E9">
          <w:rPr>
            <w:rStyle w:val="Hyperlink"/>
            <w:color w:val="0B4E60" w:themeColor="text2"/>
            <w:szCs w:val="24"/>
          </w:rPr>
          <w:t>General comment No. 7 on the participation of persons with disabilities, including children with disabilities, through their representative organizations, in the implementation and monitoring of the Convention</w:t>
        </w:r>
        <w:bookmarkEnd w:id="23"/>
        <w:r w:rsidRPr="00FF13E9">
          <w:rPr>
            <w:rStyle w:val="Hyperlink"/>
            <w:color w:val="0B4E60" w:themeColor="text2"/>
            <w:szCs w:val="24"/>
          </w:rPr>
          <w:t>.</w:t>
        </w:r>
      </w:hyperlink>
      <w:r w:rsidRPr="00FF13E9">
        <w:rPr>
          <w:szCs w:val="24"/>
        </w:rPr>
        <w:t xml:space="preserve"> [Accessed 6 May 2021].</w:t>
      </w:r>
    </w:p>
  </w:footnote>
  <w:footnote w:id="10">
    <w:p w14:paraId="0F7F92BD" w14:textId="2B9A7720" w:rsidR="00193935" w:rsidRPr="005A6C22" w:rsidRDefault="00193935" w:rsidP="00DA38E2">
      <w:pPr>
        <w:pStyle w:val="FootnoteText"/>
        <w:rPr>
          <w:rFonts w:cs="Arial"/>
          <w:szCs w:val="24"/>
        </w:rPr>
      </w:pPr>
      <w:r w:rsidRPr="005A6C22">
        <w:rPr>
          <w:rStyle w:val="FootnoteReference"/>
          <w:rFonts w:cs="Arial"/>
          <w:szCs w:val="24"/>
        </w:rPr>
        <w:footnoteRef/>
      </w:r>
      <w:r w:rsidRPr="005A6C22">
        <w:rPr>
          <w:rFonts w:cs="Arial"/>
          <w:szCs w:val="24"/>
        </w:rPr>
        <w:t xml:space="preserve"> </w:t>
      </w:r>
      <w:bookmarkStart w:id="24" w:name="_Hlk66440082"/>
      <w:r>
        <w:rPr>
          <w:rFonts w:cs="Arial"/>
          <w:szCs w:val="24"/>
        </w:rPr>
        <w:t xml:space="preserve">Ibid. </w:t>
      </w:r>
    </w:p>
    <w:bookmarkEnd w:id="24"/>
  </w:footnote>
  <w:footnote w:id="11">
    <w:p w14:paraId="68BEE43B" w14:textId="1BE19E66" w:rsidR="00193935" w:rsidRPr="001A78AA" w:rsidRDefault="00193935" w:rsidP="00813475">
      <w:pPr>
        <w:pStyle w:val="FootnoteText"/>
        <w:rPr>
          <w:rFonts w:cs="Arial"/>
        </w:rPr>
      </w:pPr>
      <w:r w:rsidRPr="005A6C22">
        <w:rPr>
          <w:rStyle w:val="FootnoteReference"/>
          <w:rFonts w:cs="Arial"/>
          <w:szCs w:val="24"/>
        </w:rPr>
        <w:footnoteRef/>
      </w:r>
      <w:r w:rsidRPr="005A6C22">
        <w:rPr>
          <w:rFonts w:cs="Arial"/>
          <w:szCs w:val="24"/>
        </w:rPr>
        <w:t xml:space="preserve"> </w:t>
      </w:r>
      <w:bookmarkStart w:id="25" w:name="_Hlk66440217"/>
      <w:r w:rsidRPr="005A6C22">
        <w:rPr>
          <w:rFonts w:cs="Arial"/>
          <w:szCs w:val="24"/>
        </w:rPr>
        <w:t xml:space="preserve">We </w:t>
      </w:r>
      <w:r>
        <w:rPr>
          <w:rFonts w:cs="Arial"/>
          <w:szCs w:val="24"/>
        </w:rPr>
        <w:t xml:space="preserve">have already </w:t>
      </w:r>
      <w:r w:rsidRPr="005A6C22">
        <w:rPr>
          <w:rFonts w:cs="Arial"/>
          <w:szCs w:val="24"/>
        </w:rPr>
        <w:t>set out specific recommendations to improve disabled people</w:t>
      </w:r>
      <w:r>
        <w:rPr>
          <w:rFonts w:cs="Arial"/>
          <w:szCs w:val="24"/>
        </w:rPr>
        <w:t>’s involvement</w:t>
      </w:r>
      <w:r w:rsidRPr="005A6C22">
        <w:rPr>
          <w:rFonts w:cs="Arial"/>
          <w:szCs w:val="24"/>
        </w:rPr>
        <w:t xml:space="preserve"> in policy and decision</w:t>
      </w:r>
      <w:r>
        <w:rPr>
          <w:rFonts w:cs="Arial"/>
          <w:szCs w:val="24"/>
        </w:rPr>
        <w:t xml:space="preserve"> making</w:t>
      </w:r>
      <w:r w:rsidRPr="005A6C22">
        <w:rPr>
          <w:rFonts w:cs="Arial"/>
          <w:szCs w:val="24"/>
        </w:rPr>
        <w:t xml:space="preserve">. See: </w:t>
      </w:r>
      <w:hyperlink r:id="rId12" w:history="1">
        <w:r w:rsidRPr="0006713C">
          <w:rPr>
            <w:rStyle w:val="Hyperlink"/>
            <w:rFonts w:cs="Arial"/>
            <w:color w:val="0B4E60" w:themeColor="text2"/>
            <w:szCs w:val="24"/>
            <w:u w:val="none"/>
          </w:rPr>
          <w:t>Equality and Human</w:t>
        </w:r>
        <w:r>
          <w:rPr>
            <w:rStyle w:val="Hyperlink"/>
            <w:rFonts w:cs="Arial"/>
            <w:color w:val="0B4E60" w:themeColor="text2"/>
            <w:szCs w:val="24"/>
          </w:rPr>
          <w:t xml:space="preserve"> </w:t>
        </w:r>
        <w:r w:rsidRPr="0006713C">
          <w:rPr>
            <w:rStyle w:val="Hyperlink"/>
            <w:rFonts w:cs="Arial"/>
            <w:color w:val="0B4E60" w:themeColor="text2"/>
            <w:szCs w:val="24"/>
            <w:u w:val="none"/>
          </w:rPr>
          <w:t>Rights Commission (2021),</w:t>
        </w:r>
        <w:r w:rsidRPr="005B6280">
          <w:rPr>
            <w:rStyle w:val="Hyperlink"/>
            <w:rFonts w:cs="Arial"/>
            <w:color w:val="0B4E60" w:themeColor="text2"/>
            <w:szCs w:val="24"/>
          </w:rPr>
          <w:t xml:space="preserve"> EHRC briefing on development of National Disability Strategy</w:t>
        </w:r>
        <w:bookmarkEnd w:id="25"/>
        <w:r w:rsidRPr="005B6280">
          <w:rPr>
            <w:rStyle w:val="Hyperlink"/>
            <w:rFonts w:cs="Arial"/>
            <w:color w:val="0B4E60" w:themeColor="text2"/>
            <w:szCs w:val="24"/>
          </w:rPr>
          <w:t>.</w:t>
        </w:r>
      </w:hyperlink>
      <w:r>
        <w:rPr>
          <w:rFonts w:cs="Arial"/>
          <w:szCs w:val="24"/>
        </w:rPr>
        <w:t xml:space="preserve"> [Accessed 6 May 2021].</w:t>
      </w:r>
    </w:p>
  </w:footnote>
  <w:footnote w:id="12">
    <w:p w14:paraId="1CCC4B3A" w14:textId="58452355" w:rsidR="00193935" w:rsidRPr="006C1E0B" w:rsidRDefault="00193935" w:rsidP="006C1E0B">
      <w:pPr>
        <w:rPr>
          <w:rFonts w:ascii="Arial" w:hAnsi="Arial" w:cs="Arial"/>
          <w:szCs w:val="24"/>
        </w:rPr>
      </w:pPr>
      <w:r w:rsidRPr="005A6C22">
        <w:rPr>
          <w:rStyle w:val="FootnoteReference"/>
          <w:rFonts w:cs="Arial"/>
          <w:szCs w:val="24"/>
        </w:rPr>
        <w:footnoteRef/>
      </w:r>
      <w:bookmarkStart w:id="28" w:name="_Hlk66441635"/>
      <w:r w:rsidRPr="0006713C">
        <w:rPr>
          <w:rStyle w:val="Hyperlink"/>
          <w:rFonts w:cs="Arial"/>
          <w:szCs w:val="24"/>
          <w:u w:val="none"/>
        </w:rPr>
        <w:t xml:space="preserve"> </w:t>
      </w:r>
      <w:r w:rsidRPr="0006713C">
        <w:rPr>
          <w:rStyle w:val="Hyperlink"/>
          <w:rFonts w:cs="Arial"/>
          <w:color w:val="0B4E60" w:themeColor="text2"/>
          <w:szCs w:val="24"/>
          <w:u w:val="none"/>
        </w:rPr>
        <w:t xml:space="preserve">UN </w:t>
      </w:r>
      <w:hyperlink r:id="rId13" w:history="1">
        <w:r w:rsidRPr="0006713C">
          <w:rPr>
            <w:rStyle w:val="Hyperlink"/>
            <w:rFonts w:ascii="Arial" w:hAnsi="Arial" w:cs="Arial"/>
            <w:color w:val="0B4E60" w:themeColor="text2"/>
            <w:szCs w:val="24"/>
            <w:u w:val="none"/>
          </w:rPr>
          <w:t xml:space="preserve">Committee on the Rights of Persons with Disabilities (2017), </w:t>
        </w:r>
        <w:r w:rsidRPr="00FF13E9">
          <w:rPr>
            <w:rStyle w:val="Hyperlink"/>
            <w:rFonts w:ascii="Arial" w:hAnsi="Arial" w:cs="Arial"/>
            <w:color w:val="0B4E60" w:themeColor="text2"/>
            <w:szCs w:val="24"/>
          </w:rPr>
          <w:t>General comment No. 5 (2017) on living independently and being included in the community</w:t>
        </w:r>
      </w:hyperlink>
      <w:r w:rsidR="0006713C">
        <w:rPr>
          <w:rStyle w:val="Hyperlink"/>
          <w:rFonts w:cs="Arial"/>
          <w:color w:val="0B4E60" w:themeColor="text2"/>
          <w:szCs w:val="24"/>
          <w:u w:val="none"/>
        </w:rPr>
        <w:t xml:space="preserve"> [a</w:t>
      </w:r>
      <w:r w:rsidRPr="00FF13E9">
        <w:rPr>
          <w:rStyle w:val="Hyperlink"/>
          <w:rFonts w:cs="Arial"/>
          <w:color w:val="0B4E60" w:themeColor="text2"/>
          <w:szCs w:val="24"/>
          <w:u w:val="none"/>
        </w:rPr>
        <w:t>ccessed 6 May 2021]</w:t>
      </w:r>
      <w:r>
        <w:rPr>
          <w:rStyle w:val="Hyperlink"/>
          <w:rFonts w:cs="Arial"/>
          <w:color w:val="0B4E60" w:themeColor="text2"/>
          <w:szCs w:val="24"/>
          <w:u w:val="none"/>
        </w:rPr>
        <w:t>.</w:t>
      </w:r>
    </w:p>
    <w:bookmarkEnd w:id="28"/>
  </w:footnote>
  <w:footnote w:id="13">
    <w:p w14:paraId="646EA3B2" w14:textId="30F1F491" w:rsidR="00193935" w:rsidRPr="005A6C22" w:rsidRDefault="00193935" w:rsidP="008C5594">
      <w:pPr>
        <w:pStyle w:val="FootnoteText"/>
        <w:spacing w:line="259" w:lineRule="auto"/>
        <w:rPr>
          <w:szCs w:val="24"/>
        </w:rPr>
      </w:pPr>
      <w:r w:rsidRPr="005A6C22">
        <w:rPr>
          <w:rStyle w:val="FootnoteReference"/>
          <w:szCs w:val="24"/>
        </w:rPr>
        <w:footnoteRef/>
      </w:r>
      <w:r w:rsidRPr="005A6C22">
        <w:rPr>
          <w:szCs w:val="24"/>
        </w:rPr>
        <w:t xml:space="preserve"> </w:t>
      </w:r>
      <w:bookmarkStart w:id="29" w:name="_Hlk66441735"/>
      <w:r>
        <w:rPr>
          <w:szCs w:val="24"/>
        </w:rPr>
        <w:t>Equality and Human Rights Commission</w:t>
      </w:r>
      <w:r w:rsidRPr="005A6C22">
        <w:rPr>
          <w:szCs w:val="24"/>
        </w:rPr>
        <w:t xml:space="preserve"> (2020</w:t>
      </w:r>
      <w:r w:rsidRPr="00FF13E9">
        <w:rPr>
          <w:szCs w:val="24"/>
        </w:rPr>
        <w:t xml:space="preserve">), </w:t>
      </w:r>
      <w:hyperlink r:id="rId14" w:history="1">
        <w:r w:rsidRPr="00FF13E9">
          <w:rPr>
            <w:rStyle w:val="Hyperlink"/>
            <w:color w:val="0B4E60" w:themeColor="text2"/>
            <w:szCs w:val="24"/>
          </w:rPr>
          <w:t>Evidence to the Women and Equalities Committee inquiry ‘Unequal impact? Coronavirus, disability and access to services</w:t>
        </w:r>
      </w:hyperlink>
      <w:r w:rsidR="0006713C">
        <w:rPr>
          <w:szCs w:val="24"/>
        </w:rPr>
        <w:t xml:space="preserve"> [a</w:t>
      </w:r>
      <w:r>
        <w:rPr>
          <w:szCs w:val="24"/>
        </w:rPr>
        <w:t>ccessed</w:t>
      </w:r>
      <w:r w:rsidRPr="005A6C22">
        <w:rPr>
          <w:szCs w:val="24"/>
        </w:rPr>
        <w:t xml:space="preserve"> </w:t>
      </w:r>
      <w:r>
        <w:rPr>
          <w:szCs w:val="24"/>
        </w:rPr>
        <w:t xml:space="preserve">6 May 2021]. </w:t>
      </w:r>
      <w:r w:rsidRPr="005A6C22">
        <w:rPr>
          <w:szCs w:val="24"/>
        </w:rPr>
        <w:t xml:space="preserve">See also: </w:t>
      </w:r>
      <w:r>
        <w:rPr>
          <w:szCs w:val="24"/>
        </w:rPr>
        <w:t>Equality and Human Rights Commission</w:t>
      </w:r>
      <w:r w:rsidRPr="005A6C22">
        <w:rPr>
          <w:szCs w:val="24"/>
        </w:rPr>
        <w:t xml:space="preserve"> (2020),</w:t>
      </w:r>
      <w:r w:rsidRPr="00FF13E9">
        <w:rPr>
          <w:szCs w:val="24"/>
        </w:rPr>
        <w:t xml:space="preserve"> </w:t>
      </w:r>
      <w:hyperlink r:id="rId15" w:history="1">
        <w:r w:rsidRPr="00FF13E9">
          <w:rPr>
            <w:rStyle w:val="Hyperlink"/>
            <w:rFonts w:cs="Arial"/>
            <w:color w:val="0B4E60" w:themeColor="text2"/>
            <w:szCs w:val="24"/>
            <w:shd w:val="clear" w:color="auto" w:fill="FFFFFF"/>
          </w:rPr>
          <w:t>Equality and human rights in residential care in England during coronavirus</w:t>
        </w:r>
      </w:hyperlink>
      <w:r>
        <w:rPr>
          <w:rStyle w:val="Hyperlink"/>
          <w:rFonts w:cs="Arial"/>
          <w:color w:val="0B4E60" w:themeColor="text2"/>
          <w:szCs w:val="24"/>
          <w:shd w:val="clear" w:color="auto" w:fill="FFFFFF"/>
        </w:rPr>
        <w:t xml:space="preserve"> </w:t>
      </w:r>
      <w:r w:rsidR="0006713C">
        <w:rPr>
          <w:szCs w:val="24"/>
        </w:rPr>
        <w:t>[a</w:t>
      </w:r>
      <w:r>
        <w:rPr>
          <w:szCs w:val="24"/>
        </w:rPr>
        <w:t>ccessed</w:t>
      </w:r>
      <w:r w:rsidRPr="005A6C22">
        <w:rPr>
          <w:szCs w:val="24"/>
        </w:rPr>
        <w:t xml:space="preserve"> </w:t>
      </w:r>
      <w:r>
        <w:rPr>
          <w:szCs w:val="24"/>
        </w:rPr>
        <w:t>6 May 2021].</w:t>
      </w:r>
    </w:p>
    <w:bookmarkEnd w:id="29"/>
  </w:footnote>
  <w:footnote w:id="14">
    <w:p w14:paraId="3ADA03AE" w14:textId="6851B840" w:rsidR="00193935" w:rsidRPr="005A6C22" w:rsidRDefault="00193935" w:rsidP="008C5594">
      <w:pPr>
        <w:pStyle w:val="FootnoteText"/>
        <w:rPr>
          <w:rFonts w:cs="Arial"/>
          <w:szCs w:val="24"/>
        </w:rPr>
      </w:pPr>
      <w:r w:rsidRPr="005A6C22">
        <w:rPr>
          <w:rStyle w:val="FootnoteReference"/>
          <w:rFonts w:cs="Arial"/>
          <w:szCs w:val="24"/>
        </w:rPr>
        <w:footnoteRef/>
      </w:r>
      <w:r w:rsidRPr="005A6C22">
        <w:rPr>
          <w:rFonts w:cs="Arial"/>
          <w:szCs w:val="24"/>
        </w:rPr>
        <w:t xml:space="preserve"> </w:t>
      </w:r>
      <w:r w:rsidRPr="00B01F19">
        <w:rPr>
          <w:rFonts w:cs="Arial"/>
          <w:szCs w:val="24"/>
        </w:rPr>
        <w:t>J</w:t>
      </w:r>
      <w:r>
        <w:rPr>
          <w:rFonts w:cs="Arial"/>
          <w:szCs w:val="24"/>
        </w:rPr>
        <w:t xml:space="preserve">oint </w:t>
      </w:r>
      <w:r w:rsidRPr="00B01F19">
        <w:rPr>
          <w:rFonts w:cs="Arial"/>
          <w:szCs w:val="24"/>
        </w:rPr>
        <w:t>C</w:t>
      </w:r>
      <w:r>
        <w:rPr>
          <w:rFonts w:cs="Arial"/>
          <w:szCs w:val="24"/>
        </w:rPr>
        <w:t xml:space="preserve">ommittee on </w:t>
      </w:r>
      <w:r w:rsidRPr="00B01F19">
        <w:rPr>
          <w:rFonts w:cs="Arial"/>
          <w:szCs w:val="24"/>
        </w:rPr>
        <w:t>H</w:t>
      </w:r>
      <w:r>
        <w:rPr>
          <w:rFonts w:cs="Arial"/>
          <w:szCs w:val="24"/>
        </w:rPr>
        <w:t xml:space="preserve">uman </w:t>
      </w:r>
      <w:r w:rsidRPr="00B01F19">
        <w:rPr>
          <w:rFonts w:cs="Arial"/>
          <w:szCs w:val="24"/>
        </w:rPr>
        <w:t>R</w:t>
      </w:r>
      <w:r>
        <w:rPr>
          <w:rFonts w:cs="Arial"/>
          <w:szCs w:val="24"/>
        </w:rPr>
        <w:t>ights</w:t>
      </w:r>
      <w:r w:rsidRPr="00B01F19">
        <w:rPr>
          <w:rFonts w:cs="Arial"/>
          <w:szCs w:val="24"/>
        </w:rPr>
        <w:t xml:space="preserve"> (2019), </w:t>
      </w:r>
      <w:hyperlink r:id="rId16" w:history="1">
        <w:r w:rsidRPr="00B01F19">
          <w:rPr>
            <w:rStyle w:val="Hyperlink"/>
            <w:rFonts w:cs="Arial"/>
            <w:color w:val="0B4E60" w:themeColor="text2"/>
            <w:szCs w:val="24"/>
          </w:rPr>
          <w:t>The detention of children and young people with learning disabilities and/or autism</w:t>
        </w:r>
      </w:hyperlink>
      <w:r w:rsidR="0006713C">
        <w:rPr>
          <w:rStyle w:val="Hyperlink"/>
          <w:rFonts w:cs="Arial"/>
          <w:color w:val="0B4E60" w:themeColor="text2"/>
          <w:szCs w:val="24"/>
          <w:u w:val="none"/>
        </w:rPr>
        <w:t xml:space="preserve"> [a</w:t>
      </w:r>
      <w:r w:rsidRPr="00B01F19">
        <w:rPr>
          <w:rStyle w:val="Hyperlink"/>
          <w:rFonts w:cs="Arial"/>
          <w:color w:val="0B4E60" w:themeColor="text2"/>
          <w:szCs w:val="24"/>
          <w:u w:val="none"/>
        </w:rPr>
        <w:t>ccessed 6 May 2021]</w:t>
      </w:r>
      <w:r>
        <w:rPr>
          <w:rStyle w:val="Hyperlink"/>
          <w:rFonts w:cs="Arial"/>
          <w:color w:val="0B4E60" w:themeColor="text2"/>
          <w:szCs w:val="24"/>
          <w:u w:val="none"/>
        </w:rPr>
        <w:t>.</w:t>
      </w:r>
    </w:p>
  </w:footnote>
  <w:footnote w:id="15">
    <w:p w14:paraId="58CBED92" w14:textId="7C7103B9" w:rsidR="00193935" w:rsidRPr="005A6C22" w:rsidRDefault="00193935" w:rsidP="008C5594">
      <w:pPr>
        <w:pStyle w:val="FootnoteText"/>
        <w:rPr>
          <w:rFonts w:cs="Arial"/>
          <w:szCs w:val="24"/>
        </w:rPr>
      </w:pPr>
      <w:r w:rsidRPr="005A6C22">
        <w:rPr>
          <w:rStyle w:val="FootnoteReference"/>
          <w:rFonts w:cs="Arial"/>
          <w:szCs w:val="24"/>
        </w:rPr>
        <w:footnoteRef/>
      </w:r>
      <w:r w:rsidRPr="005A6C22">
        <w:rPr>
          <w:rFonts w:cs="Arial"/>
          <w:szCs w:val="24"/>
        </w:rPr>
        <w:t xml:space="preserve"> </w:t>
      </w:r>
      <w:bookmarkStart w:id="32" w:name="_Hlk66699294"/>
      <w:r>
        <w:rPr>
          <w:rFonts w:cs="Arial"/>
          <w:szCs w:val="24"/>
        </w:rPr>
        <w:t>UN Committee on the Rights of Persons with Disa</w:t>
      </w:r>
      <w:r w:rsidRPr="00B01F19">
        <w:rPr>
          <w:rFonts w:cs="Arial"/>
          <w:szCs w:val="24"/>
        </w:rPr>
        <w:t>bilities</w:t>
      </w:r>
      <w:r>
        <w:rPr>
          <w:rFonts w:cs="Arial"/>
          <w:szCs w:val="24"/>
        </w:rPr>
        <w:t xml:space="preserve"> (2017), </w:t>
      </w:r>
      <w:hyperlink r:id="rId17" w:history="1">
        <w:r w:rsidRPr="00B01F19">
          <w:rPr>
            <w:rStyle w:val="Hyperlink"/>
            <w:rFonts w:cs="Arial"/>
            <w:color w:val="0B4E60" w:themeColor="text2"/>
            <w:szCs w:val="24"/>
          </w:rPr>
          <w:t>Concluding observations on the initial report of the United Kingdom of Great Britain and Northern Ireland</w:t>
        </w:r>
      </w:hyperlink>
      <w:bookmarkEnd w:id="32"/>
      <w:r>
        <w:rPr>
          <w:rStyle w:val="Hyperlink"/>
          <w:rFonts w:cs="Arial"/>
          <w:color w:val="0B4E60" w:themeColor="text2"/>
          <w:szCs w:val="24"/>
        </w:rPr>
        <w:t xml:space="preserve"> </w:t>
      </w:r>
      <w:r w:rsidR="0006713C">
        <w:rPr>
          <w:rStyle w:val="Hyperlink"/>
          <w:rFonts w:cs="Arial"/>
          <w:color w:val="0B4E60" w:themeColor="text2"/>
          <w:szCs w:val="24"/>
          <w:u w:val="none"/>
        </w:rPr>
        <w:t>[a</w:t>
      </w:r>
      <w:r w:rsidRPr="00B01F19">
        <w:rPr>
          <w:rStyle w:val="Hyperlink"/>
          <w:rFonts w:cs="Arial"/>
          <w:color w:val="0B4E60" w:themeColor="text2"/>
          <w:szCs w:val="24"/>
          <w:u w:val="none"/>
        </w:rPr>
        <w:t>ccessed 6 May 2021]</w:t>
      </w:r>
      <w:r>
        <w:rPr>
          <w:rStyle w:val="Hyperlink"/>
          <w:rFonts w:cs="Arial"/>
          <w:color w:val="0B4E60" w:themeColor="text2"/>
          <w:szCs w:val="24"/>
          <w:u w:val="none"/>
        </w:rPr>
        <w:t>.</w:t>
      </w:r>
    </w:p>
  </w:footnote>
  <w:footnote w:id="16">
    <w:p w14:paraId="2265DF32" w14:textId="355211A3" w:rsidR="00193935" w:rsidRPr="001A78AA" w:rsidRDefault="00193935" w:rsidP="008C5594">
      <w:pPr>
        <w:pStyle w:val="FootnoteText"/>
        <w:rPr>
          <w:rFonts w:cs="Arial"/>
        </w:rPr>
      </w:pPr>
      <w:r w:rsidRPr="00B01F19">
        <w:rPr>
          <w:rStyle w:val="FootnoteReference"/>
          <w:rFonts w:cs="Arial"/>
          <w:szCs w:val="24"/>
        </w:rPr>
        <w:footnoteRef/>
      </w:r>
      <w:r w:rsidRPr="00B01F19">
        <w:rPr>
          <w:rFonts w:cs="Arial"/>
          <w:szCs w:val="24"/>
        </w:rPr>
        <w:t xml:space="preserve"> C</w:t>
      </w:r>
      <w:r>
        <w:rPr>
          <w:rFonts w:cs="Arial"/>
          <w:szCs w:val="24"/>
        </w:rPr>
        <w:t xml:space="preserve">are </w:t>
      </w:r>
      <w:r w:rsidRPr="00B01F19">
        <w:rPr>
          <w:rFonts w:cs="Arial"/>
          <w:szCs w:val="24"/>
        </w:rPr>
        <w:t>Q</w:t>
      </w:r>
      <w:r>
        <w:rPr>
          <w:rFonts w:cs="Arial"/>
          <w:szCs w:val="24"/>
        </w:rPr>
        <w:t xml:space="preserve">uality </w:t>
      </w:r>
      <w:r w:rsidRPr="00B01F19">
        <w:rPr>
          <w:rFonts w:cs="Arial"/>
          <w:szCs w:val="24"/>
        </w:rPr>
        <w:t>C</w:t>
      </w:r>
      <w:r>
        <w:rPr>
          <w:rFonts w:cs="Arial"/>
          <w:szCs w:val="24"/>
        </w:rPr>
        <w:t>ommission</w:t>
      </w:r>
      <w:r w:rsidRPr="00B01F19">
        <w:rPr>
          <w:rFonts w:cs="Arial"/>
          <w:szCs w:val="24"/>
        </w:rPr>
        <w:t xml:space="preserve"> (2020),</w:t>
      </w:r>
      <w:r w:rsidRPr="00B01F19">
        <w:rPr>
          <w:rFonts w:cs="Arial"/>
          <w:b/>
          <w:szCs w:val="24"/>
        </w:rPr>
        <w:t xml:space="preserve"> </w:t>
      </w:r>
      <w:hyperlink r:id="rId18" w:history="1">
        <w:r w:rsidRPr="00B01F19">
          <w:rPr>
            <w:rStyle w:val="Hyperlink"/>
            <w:rFonts w:cs="Arial"/>
            <w:color w:val="0B4E60" w:themeColor="text2"/>
            <w:szCs w:val="24"/>
          </w:rPr>
          <w:t>Out of sight – who cares?: Restraint, segregation and seclusion review</w:t>
        </w:r>
      </w:hyperlink>
      <w:r>
        <w:rPr>
          <w:rStyle w:val="Hyperlink"/>
          <w:rFonts w:cs="Arial"/>
          <w:color w:val="0B4E60" w:themeColor="text2"/>
          <w:szCs w:val="24"/>
        </w:rPr>
        <w:t xml:space="preserve"> </w:t>
      </w:r>
      <w:r w:rsidR="0006713C">
        <w:rPr>
          <w:rStyle w:val="Hyperlink"/>
          <w:rFonts w:cs="Arial"/>
          <w:color w:val="0B4E60" w:themeColor="text2"/>
          <w:szCs w:val="24"/>
          <w:u w:val="none"/>
        </w:rPr>
        <w:t>[a</w:t>
      </w:r>
      <w:r w:rsidRPr="00B01F19">
        <w:rPr>
          <w:rStyle w:val="Hyperlink"/>
          <w:rFonts w:cs="Arial"/>
          <w:color w:val="0B4E60" w:themeColor="text2"/>
          <w:szCs w:val="24"/>
          <w:u w:val="none"/>
        </w:rPr>
        <w:t>ccessed 6 May 2021].</w:t>
      </w:r>
    </w:p>
  </w:footnote>
  <w:footnote w:id="17">
    <w:p w14:paraId="76D39DAB" w14:textId="51E6AE15" w:rsidR="00193935" w:rsidRPr="005A6C22" w:rsidRDefault="00193935" w:rsidP="008C5594">
      <w:pPr>
        <w:pStyle w:val="FootnoteText"/>
        <w:rPr>
          <w:szCs w:val="24"/>
        </w:rPr>
      </w:pPr>
      <w:r w:rsidRPr="005A6C22">
        <w:rPr>
          <w:rStyle w:val="FootnoteReference"/>
          <w:szCs w:val="24"/>
        </w:rPr>
        <w:footnoteRef/>
      </w:r>
      <w:r w:rsidRPr="005A6C22">
        <w:rPr>
          <w:szCs w:val="24"/>
        </w:rPr>
        <w:t xml:space="preserve"> </w:t>
      </w:r>
      <w:r w:rsidR="0006713C">
        <w:rPr>
          <w:rFonts w:cs="Arial"/>
          <w:szCs w:val="24"/>
        </w:rPr>
        <w:t xml:space="preserve">NHS Digital (2021), </w:t>
      </w:r>
      <w:hyperlink r:id="rId19" w:history="1">
        <w:r w:rsidRPr="00B01F19">
          <w:rPr>
            <w:rStyle w:val="Hyperlink"/>
            <w:rFonts w:cs="Arial"/>
            <w:color w:val="0B4E60" w:themeColor="text2"/>
            <w:szCs w:val="24"/>
          </w:rPr>
          <w:t>Mental Health Bulletin 2019-20 Annual report</w:t>
        </w:r>
      </w:hyperlink>
      <w:r w:rsidRPr="00B01F19">
        <w:rPr>
          <w:rFonts w:cs="Arial"/>
          <w:szCs w:val="24"/>
        </w:rPr>
        <w:t xml:space="preserve">, reference table 7.1, </w:t>
      </w:r>
      <w:r w:rsidR="0006713C">
        <w:rPr>
          <w:rStyle w:val="Hyperlink"/>
          <w:rFonts w:cs="Arial"/>
          <w:color w:val="0B4E60" w:themeColor="text2"/>
          <w:szCs w:val="24"/>
          <w:u w:val="none"/>
        </w:rPr>
        <w:t>[a</w:t>
      </w:r>
      <w:r w:rsidRPr="00B01F19">
        <w:rPr>
          <w:rStyle w:val="Hyperlink"/>
          <w:rFonts w:cs="Arial"/>
          <w:color w:val="0B4E60" w:themeColor="text2"/>
          <w:szCs w:val="24"/>
          <w:u w:val="none"/>
        </w:rPr>
        <w:t>ccessed 6 May 2021].</w:t>
      </w:r>
    </w:p>
  </w:footnote>
  <w:footnote w:id="18">
    <w:p w14:paraId="2F54970B" w14:textId="7E409AD0" w:rsidR="00193935" w:rsidRPr="005A6C22" w:rsidRDefault="00193935" w:rsidP="008C5594">
      <w:pPr>
        <w:pStyle w:val="FootnoteText"/>
        <w:rPr>
          <w:rFonts w:cs="Arial"/>
          <w:szCs w:val="24"/>
        </w:rPr>
      </w:pPr>
      <w:r w:rsidRPr="00B01F19">
        <w:rPr>
          <w:rStyle w:val="FootnoteReference"/>
          <w:rFonts w:cs="Arial"/>
          <w:szCs w:val="24"/>
        </w:rPr>
        <w:footnoteRef/>
      </w:r>
      <w:r w:rsidRPr="00B01F19">
        <w:rPr>
          <w:rFonts w:cs="Arial"/>
          <w:szCs w:val="24"/>
        </w:rPr>
        <w:t xml:space="preserve"> Equality and Human Rights Commission (2019), </w:t>
      </w:r>
      <w:hyperlink r:id="rId20" w:history="1">
        <w:r w:rsidRPr="00B01F19">
          <w:rPr>
            <w:rStyle w:val="Hyperlink"/>
            <w:rFonts w:cs="Arial"/>
            <w:color w:val="0B4E60" w:themeColor="text2"/>
            <w:szCs w:val="24"/>
          </w:rPr>
          <w:t>Human rights framework for restraint</w:t>
        </w:r>
      </w:hyperlink>
      <w:r w:rsidRPr="00B01F19">
        <w:rPr>
          <w:rFonts w:cs="Arial"/>
          <w:szCs w:val="24"/>
        </w:rPr>
        <w:t xml:space="preserve"> </w:t>
      </w:r>
      <w:r w:rsidR="0006713C">
        <w:rPr>
          <w:rStyle w:val="Hyperlink"/>
          <w:rFonts w:cs="Arial"/>
          <w:color w:val="0B4E60" w:themeColor="text2"/>
          <w:szCs w:val="24"/>
          <w:u w:val="none"/>
        </w:rPr>
        <w:t>[a</w:t>
      </w:r>
      <w:r w:rsidRPr="00B01F19">
        <w:rPr>
          <w:rStyle w:val="Hyperlink"/>
          <w:rFonts w:cs="Arial"/>
          <w:color w:val="0B4E60" w:themeColor="text2"/>
          <w:szCs w:val="24"/>
          <w:u w:val="none"/>
        </w:rPr>
        <w:t>ccessed 6 May 2021].</w:t>
      </w:r>
    </w:p>
  </w:footnote>
  <w:footnote w:id="19">
    <w:p w14:paraId="5B334674" w14:textId="5096972A" w:rsidR="00193935" w:rsidRPr="005A6C22" w:rsidRDefault="00193935" w:rsidP="008C5594">
      <w:pPr>
        <w:pStyle w:val="FootnoteText"/>
        <w:spacing w:line="259" w:lineRule="auto"/>
        <w:rPr>
          <w:rFonts w:cs="Arial"/>
          <w:szCs w:val="24"/>
        </w:rPr>
      </w:pPr>
      <w:r w:rsidRPr="00B01F19">
        <w:rPr>
          <w:rStyle w:val="FootnoteReference"/>
          <w:rFonts w:cs="Arial"/>
          <w:szCs w:val="24"/>
        </w:rPr>
        <w:footnoteRef/>
      </w:r>
      <w:r w:rsidRPr="00B01F19">
        <w:rPr>
          <w:rFonts w:cs="Arial"/>
          <w:szCs w:val="24"/>
        </w:rPr>
        <w:t xml:space="preserve"> C</w:t>
      </w:r>
      <w:r>
        <w:rPr>
          <w:rFonts w:cs="Arial"/>
          <w:szCs w:val="24"/>
        </w:rPr>
        <w:t xml:space="preserve">are </w:t>
      </w:r>
      <w:r w:rsidRPr="00B01F19">
        <w:rPr>
          <w:rFonts w:cs="Arial"/>
          <w:szCs w:val="24"/>
        </w:rPr>
        <w:t>Q</w:t>
      </w:r>
      <w:r>
        <w:rPr>
          <w:rFonts w:cs="Arial"/>
          <w:szCs w:val="24"/>
        </w:rPr>
        <w:t xml:space="preserve">uality </w:t>
      </w:r>
      <w:r w:rsidRPr="00B01F19">
        <w:rPr>
          <w:rFonts w:cs="Arial"/>
          <w:szCs w:val="24"/>
        </w:rPr>
        <w:t>C</w:t>
      </w:r>
      <w:r>
        <w:rPr>
          <w:rFonts w:cs="Arial"/>
          <w:szCs w:val="24"/>
        </w:rPr>
        <w:t>ommission</w:t>
      </w:r>
      <w:r w:rsidRPr="00B01F19">
        <w:rPr>
          <w:rFonts w:cs="Arial"/>
          <w:szCs w:val="24"/>
        </w:rPr>
        <w:t xml:space="preserve"> (2020),</w:t>
      </w:r>
      <w:r w:rsidRPr="00B01F19">
        <w:rPr>
          <w:rFonts w:cs="Arial"/>
          <w:b/>
          <w:szCs w:val="24"/>
        </w:rPr>
        <w:t xml:space="preserve"> </w:t>
      </w:r>
      <w:hyperlink r:id="rId21" w:history="1">
        <w:r w:rsidRPr="00B01F19">
          <w:rPr>
            <w:rStyle w:val="Hyperlink"/>
            <w:rFonts w:cs="Arial"/>
            <w:color w:val="0B4E60" w:themeColor="text2"/>
            <w:szCs w:val="24"/>
          </w:rPr>
          <w:t>Out of sight – who cares?: Restraint, segregation and seclusion review</w:t>
        </w:r>
      </w:hyperlink>
      <w:r>
        <w:rPr>
          <w:rStyle w:val="Hyperlink"/>
          <w:rFonts w:cs="Arial"/>
          <w:color w:val="0B4E60" w:themeColor="text2"/>
          <w:szCs w:val="24"/>
        </w:rPr>
        <w:t xml:space="preserve"> </w:t>
      </w:r>
      <w:r w:rsidR="0006713C">
        <w:rPr>
          <w:rStyle w:val="Hyperlink"/>
          <w:rFonts w:cs="Arial"/>
          <w:color w:val="0B4E60" w:themeColor="text2"/>
          <w:szCs w:val="24"/>
          <w:u w:val="none"/>
        </w:rPr>
        <w:t>[a</w:t>
      </w:r>
      <w:r w:rsidRPr="00B01F19">
        <w:rPr>
          <w:rStyle w:val="Hyperlink"/>
          <w:rFonts w:cs="Arial"/>
          <w:color w:val="0B4E60" w:themeColor="text2"/>
          <w:szCs w:val="24"/>
          <w:u w:val="none"/>
        </w:rPr>
        <w:t>ccessed 6 May 2021]</w:t>
      </w:r>
      <w:r>
        <w:rPr>
          <w:rStyle w:val="Hyperlink"/>
          <w:rFonts w:cs="Arial"/>
          <w:color w:val="0B4E60" w:themeColor="text2"/>
          <w:szCs w:val="24"/>
          <w:u w:val="none"/>
        </w:rPr>
        <w:t>.</w:t>
      </w:r>
    </w:p>
  </w:footnote>
  <w:footnote w:id="20">
    <w:p w14:paraId="5922B897" w14:textId="746CC809" w:rsidR="00193935" w:rsidRPr="005A6C22" w:rsidRDefault="00193935" w:rsidP="008C5594">
      <w:pPr>
        <w:pStyle w:val="FootnoteText"/>
        <w:rPr>
          <w:rFonts w:cs="Arial"/>
          <w:szCs w:val="24"/>
        </w:rPr>
      </w:pPr>
      <w:r w:rsidRPr="00B01F19">
        <w:rPr>
          <w:rStyle w:val="FootnoteReference"/>
          <w:rFonts w:cs="Arial"/>
          <w:szCs w:val="24"/>
        </w:rPr>
        <w:footnoteRef/>
      </w:r>
      <w:r w:rsidRPr="00B01F19">
        <w:rPr>
          <w:rFonts w:cs="Arial"/>
          <w:szCs w:val="24"/>
        </w:rPr>
        <w:t xml:space="preserve"> Department of Health (2012), </w:t>
      </w:r>
      <w:hyperlink r:id="rId22" w:history="1">
        <w:r w:rsidRPr="00B01F19">
          <w:rPr>
            <w:rStyle w:val="Hyperlink"/>
            <w:rFonts w:cs="Arial"/>
            <w:color w:val="0B4E60" w:themeColor="text2"/>
            <w:szCs w:val="24"/>
          </w:rPr>
          <w:t>Transforming care: a national response to Winterbourne View Hospital</w:t>
        </w:r>
      </w:hyperlink>
      <w:r>
        <w:rPr>
          <w:rFonts w:cs="Arial"/>
          <w:szCs w:val="24"/>
        </w:rPr>
        <w:t xml:space="preserve"> </w:t>
      </w:r>
      <w:r w:rsidR="0006713C">
        <w:rPr>
          <w:rStyle w:val="Hyperlink"/>
          <w:rFonts w:cs="Arial"/>
          <w:color w:val="0B4E60" w:themeColor="text2"/>
          <w:szCs w:val="24"/>
          <w:u w:val="none"/>
        </w:rPr>
        <w:t>[a</w:t>
      </w:r>
      <w:r w:rsidRPr="00B01F19">
        <w:rPr>
          <w:rStyle w:val="Hyperlink"/>
          <w:rFonts w:cs="Arial"/>
          <w:color w:val="0B4E60" w:themeColor="text2"/>
          <w:szCs w:val="24"/>
          <w:u w:val="none"/>
        </w:rPr>
        <w:t>ccessed 6 May 2021]</w:t>
      </w:r>
      <w:r>
        <w:rPr>
          <w:rStyle w:val="Hyperlink"/>
          <w:rFonts w:cs="Arial"/>
          <w:color w:val="0B4E60" w:themeColor="text2"/>
          <w:szCs w:val="24"/>
          <w:u w:val="none"/>
        </w:rPr>
        <w:t>.</w:t>
      </w:r>
    </w:p>
  </w:footnote>
  <w:footnote w:id="21">
    <w:p w14:paraId="607B51B1" w14:textId="78D0C734" w:rsidR="00193935" w:rsidRPr="005A6C22" w:rsidRDefault="00193935" w:rsidP="008C5594">
      <w:pPr>
        <w:pStyle w:val="FootnoteText"/>
        <w:spacing w:line="259" w:lineRule="auto"/>
        <w:rPr>
          <w:rFonts w:cs="Arial"/>
          <w:szCs w:val="24"/>
        </w:rPr>
      </w:pPr>
      <w:r w:rsidRPr="00B01F19">
        <w:rPr>
          <w:rStyle w:val="FootnoteReference"/>
          <w:rFonts w:cs="Arial"/>
          <w:szCs w:val="24"/>
        </w:rPr>
        <w:footnoteRef/>
      </w:r>
      <w:r w:rsidRPr="00B01F19">
        <w:rPr>
          <w:rFonts w:cs="Arial"/>
          <w:szCs w:val="24"/>
        </w:rPr>
        <w:t xml:space="preserve"> </w:t>
      </w:r>
      <w:hyperlink r:id="rId23" w:history="1">
        <w:r w:rsidRPr="0006713C">
          <w:rPr>
            <w:rStyle w:val="Hyperlink"/>
            <w:rFonts w:cs="Arial"/>
            <w:color w:val="0B4E60" w:themeColor="text2"/>
            <w:szCs w:val="24"/>
            <w:u w:val="none"/>
          </w:rPr>
          <w:t xml:space="preserve">NHS England (2015), </w:t>
        </w:r>
        <w:r w:rsidRPr="00F53773">
          <w:rPr>
            <w:rStyle w:val="Hyperlink"/>
            <w:rFonts w:cs="Arial"/>
            <w:color w:val="0B4E60" w:themeColor="text2"/>
            <w:szCs w:val="24"/>
          </w:rPr>
          <w:t>Building the right support</w:t>
        </w:r>
      </w:hyperlink>
      <w:r>
        <w:rPr>
          <w:rFonts w:cs="Arial"/>
          <w:szCs w:val="24"/>
        </w:rPr>
        <w:t xml:space="preserve"> [accessed 6 May 2021]</w:t>
      </w:r>
      <w:r>
        <w:rPr>
          <w:rStyle w:val="Hyperlink"/>
          <w:rFonts w:cs="Arial"/>
          <w:color w:val="0B4E60" w:themeColor="text2"/>
          <w:szCs w:val="24"/>
          <w:u w:val="none"/>
        </w:rPr>
        <w:t>;</w:t>
      </w:r>
      <w:r w:rsidRPr="00B01F19">
        <w:rPr>
          <w:rFonts w:cs="Arial"/>
          <w:szCs w:val="24"/>
        </w:rPr>
        <w:t xml:space="preserve"> </w:t>
      </w:r>
      <w:hyperlink r:id="rId24" w:history="1">
        <w:r w:rsidRPr="0006713C">
          <w:rPr>
            <w:rStyle w:val="Hyperlink"/>
            <w:rFonts w:cs="Arial"/>
            <w:color w:val="0B4E60" w:themeColor="text2"/>
            <w:szCs w:val="24"/>
            <w:u w:val="none"/>
          </w:rPr>
          <w:t xml:space="preserve">NHS England (2019), </w:t>
        </w:r>
        <w:r w:rsidRPr="00F53773">
          <w:rPr>
            <w:rStyle w:val="Hyperlink"/>
            <w:rFonts w:cs="Arial"/>
            <w:color w:val="0B4E60" w:themeColor="text2"/>
            <w:szCs w:val="24"/>
          </w:rPr>
          <w:t>NHS Long Term Plan</w:t>
        </w:r>
      </w:hyperlink>
      <w:r>
        <w:rPr>
          <w:rFonts w:cs="Arial"/>
          <w:szCs w:val="24"/>
        </w:rPr>
        <w:t xml:space="preserve"> [accessed 6 May 2021]</w:t>
      </w:r>
      <w:r>
        <w:rPr>
          <w:rStyle w:val="Hyperlink"/>
          <w:rFonts w:cs="Arial"/>
          <w:color w:val="0B4E60" w:themeColor="text2"/>
          <w:szCs w:val="24"/>
          <w:u w:val="none"/>
        </w:rPr>
        <w:t>.</w:t>
      </w:r>
    </w:p>
  </w:footnote>
  <w:footnote w:id="22">
    <w:p w14:paraId="75F9EBDC" w14:textId="08F6A54C" w:rsidR="00193935" w:rsidRPr="005A6C22" w:rsidRDefault="00193935" w:rsidP="008C5594">
      <w:pPr>
        <w:pStyle w:val="FootnoteText"/>
        <w:spacing w:line="259" w:lineRule="auto"/>
        <w:rPr>
          <w:rFonts w:cs="Arial"/>
          <w:szCs w:val="24"/>
        </w:rPr>
      </w:pPr>
      <w:r w:rsidRPr="00F53773">
        <w:rPr>
          <w:rStyle w:val="FootnoteReference"/>
          <w:rFonts w:cs="Arial"/>
          <w:szCs w:val="24"/>
        </w:rPr>
        <w:footnoteRef/>
      </w:r>
      <w:r w:rsidRPr="00F53773">
        <w:rPr>
          <w:rFonts w:cs="Arial"/>
          <w:szCs w:val="24"/>
        </w:rPr>
        <w:t xml:space="preserve"> </w:t>
      </w:r>
      <w:hyperlink r:id="rId25" w:history="1">
        <w:r w:rsidRPr="0006713C">
          <w:rPr>
            <w:rStyle w:val="Hyperlink"/>
            <w:rFonts w:cs="Arial"/>
            <w:color w:val="0B4E60" w:themeColor="text2"/>
            <w:szCs w:val="24"/>
            <w:u w:val="none"/>
          </w:rPr>
          <w:t xml:space="preserve">Joint Committee on Human Rights (2019), </w:t>
        </w:r>
        <w:r w:rsidRPr="00F53773">
          <w:rPr>
            <w:rStyle w:val="Hyperlink"/>
            <w:rFonts w:cs="Arial"/>
            <w:color w:val="0B4E60" w:themeColor="text2"/>
            <w:szCs w:val="24"/>
          </w:rPr>
          <w:t>The detention of children and young people with learning disabilities and/or autism</w:t>
        </w:r>
      </w:hyperlink>
      <w:r w:rsidRPr="00F53773">
        <w:rPr>
          <w:rStyle w:val="Hyperlink"/>
          <w:rFonts w:cs="Arial"/>
          <w:color w:val="0B4E60" w:themeColor="text2"/>
          <w:szCs w:val="24"/>
        </w:rPr>
        <w:t xml:space="preserve"> </w:t>
      </w:r>
      <w:r>
        <w:rPr>
          <w:rFonts w:cs="Arial"/>
          <w:szCs w:val="24"/>
        </w:rPr>
        <w:t>[accessed 6 May 2021]</w:t>
      </w:r>
      <w:r>
        <w:rPr>
          <w:rStyle w:val="Hyperlink"/>
          <w:rFonts w:cs="Arial"/>
          <w:color w:val="0B4E60" w:themeColor="text2"/>
          <w:szCs w:val="24"/>
          <w:u w:val="none"/>
        </w:rPr>
        <w:t>.</w:t>
      </w:r>
    </w:p>
  </w:footnote>
  <w:footnote w:id="23">
    <w:p w14:paraId="0FDA3ABB" w14:textId="70C18F05" w:rsidR="00193935" w:rsidRPr="005A6C22" w:rsidRDefault="00193935" w:rsidP="008C5594">
      <w:pPr>
        <w:pStyle w:val="FootnoteText"/>
        <w:rPr>
          <w:rFonts w:cs="Arial"/>
          <w:szCs w:val="24"/>
        </w:rPr>
      </w:pPr>
      <w:r w:rsidRPr="00F53773">
        <w:rPr>
          <w:rStyle w:val="FootnoteReference"/>
          <w:rFonts w:cs="Arial"/>
          <w:szCs w:val="24"/>
        </w:rPr>
        <w:footnoteRef/>
      </w:r>
      <w:r w:rsidRPr="00F53773">
        <w:rPr>
          <w:rFonts w:cs="Arial"/>
          <w:szCs w:val="24"/>
        </w:rPr>
        <w:t xml:space="preserve"> </w:t>
      </w:r>
      <w:hyperlink r:id="rId26" w:history="1">
        <w:r w:rsidRPr="0006713C">
          <w:rPr>
            <w:rStyle w:val="Hyperlink"/>
            <w:rFonts w:cs="Arial"/>
            <w:color w:val="0B4E60" w:themeColor="text2"/>
            <w:szCs w:val="24"/>
            <w:u w:val="none"/>
          </w:rPr>
          <w:t xml:space="preserve">NHS Digital (2021), </w:t>
        </w:r>
        <w:r w:rsidRPr="00F53773">
          <w:rPr>
            <w:rStyle w:val="Hyperlink"/>
            <w:rFonts w:cs="Arial"/>
            <w:color w:val="0B4E60" w:themeColor="text2"/>
            <w:szCs w:val="24"/>
          </w:rPr>
          <w:t xml:space="preserve">LDA monthly statistics from AT – </w:t>
        </w:r>
        <w:r w:rsidR="0006713C">
          <w:rPr>
            <w:rStyle w:val="Hyperlink"/>
            <w:rFonts w:cs="Arial"/>
            <w:color w:val="0B4E60" w:themeColor="text2"/>
            <w:szCs w:val="24"/>
          </w:rPr>
          <w:t>December 2020: reference tables</w:t>
        </w:r>
        <w:r w:rsidRPr="00F53773">
          <w:rPr>
            <w:rStyle w:val="Hyperlink"/>
            <w:rFonts w:cs="Arial"/>
            <w:color w:val="0B4E60" w:themeColor="text2"/>
            <w:szCs w:val="24"/>
          </w:rPr>
          <w:t>,</w:t>
        </w:r>
      </w:hyperlink>
      <w:r w:rsidRPr="00F53773">
        <w:rPr>
          <w:rFonts w:cs="Arial"/>
          <w:szCs w:val="24"/>
        </w:rPr>
        <w:t xml:space="preserve"> </w:t>
      </w:r>
      <w:r>
        <w:rPr>
          <w:rFonts w:cs="Arial"/>
          <w:szCs w:val="24"/>
        </w:rPr>
        <w:t>tables 1 and 8, [accessed 6 May 2021]</w:t>
      </w:r>
      <w:r>
        <w:rPr>
          <w:rStyle w:val="Hyperlink"/>
          <w:rFonts w:cs="Arial"/>
          <w:color w:val="0B4E60" w:themeColor="text2"/>
          <w:szCs w:val="24"/>
          <w:u w:val="none"/>
        </w:rPr>
        <w:t>.</w:t>
      </w:r>
    </w:p>
  </w:footnote>
  <w:footnote w:id="24">
    <w:p w14:paraId="420BC950" w14:textId="04CA2A03" w:rsidR="00193935" w:rsidRPr="005A6C22" w:rsidRDefault="00193935" w:rsidP="008C5594">
      <w:pPr>
        <w:pStyle w:val="FootnoteText"/>
        <w:rPr>
          <w:rFonts w:cs="Arial"/>
          <w:szCs w:val="24"/>
        </w:rPr>
      </w:pPr>
      <w:r w:rsidRPr="005A6C22">
        <w:rPr>
          <w:rStyle w:val="FootnoteReference"/>
          <w:rFonts w:cs="Arial"/>
          <w:szCs w:val="24"/>
        </w:rPr>
        <w:footnoteRef/>
      </w:r>
      <w:r w:rsidRPr="005A6C22">
        <w:rPr>
          <w:rFonts w:cs="Arial"/>
          <w:szCs w:val="24"/>
        </w:rPr>
        <w:t xml:space="preserve"> </w:t>
      </w:r>
      <w:hyperlink r:id="rId27" w:history="1">
        <w:r w:rsidRPr="0006713C">
          <w:rPr>
            <w:rStyle w:val="Hyperlink"/>
            <w:rFonts w:cs="Arial"/>
            <w:color w:val="0B4E60" w:themeColor="text2"/>
            <w:szCs w:val="24"/>
            <w:u w:val="none"/>
          </w:rPr>
          <w:t>Care Quality Commission (2020),</w:t>
        </w:r>
        <w:r w:rsidRPr="0006713C">
          <w:rPr>
            <w:rStyle w:val="Hyperlink"/>
            <w:rFonts w:cs="Arial"/>
            <w:b/>
            <w:color w:val="0B4E60" w:themeColor="text2"/>
            <w:szCs w:val="24"/>
            <w:u w:val="none"/>
          </w:rPr>
          <w:t xml:space="preserve"> </w:t>
        </w:r>
        <w:r w:rsidRPr="00F53773">
          <w:rPr>
            <w:rStyle w:val="Hyperlink"/>
            <w:rFonts w:cs="Arial"/>
            <w:color w:val="0B4E60" w:themeColor="text2"/>
            <w:szCs w:val="24"/>
          </w:rPr>
          <w:t>Out of sight – who cares?: Restraint, segregation and seclusion review</w:t>
        </w:r>
      </w:hyperlink>
      <w:r w:rsidRPr="00F53773">
        <w:rPr>
          <w:rFonts w:cs="Arial"/>
          <w:szCs w:val="24"/>
        </w:rPr>
        <w:t xml:space="preserve"> [accessed 6 May 2021]</w:t>
      </w:r>
      <w:r>
        <w:rPr>
          <w:rFonts w:cs="Arial"/>
          <w:szCs w:val="24"/>
        </w:rPr>
        <w:t>.</w:t>
      </w:r>
    </w:p>
  </w:footnote>
  <w:footnote w:id="25">
    <w:p w14:paraId="1C190237" w14:textId="4388604B" w:rsidR="00193935" w:rsidRPr="001A4129" w:rsidRDefault="00193935" w:rsidP="00D5070B">
      <w:pPr>
        <w:pStyle w:val="FootnoteText"/>
        <w:rPr>
          <w:szCs w:val="24"/>
        </w:rPr>
      </w:pPr>
      <w:r w:rsidRPr="0006713C">
        <w:rPr>
          <w:rStyle w:val="FootnoteReference"/>
          <w:szCs w:val="24"/>
        </w:rPr>
        <w:footnoteRef/>
      </w:r>
      <w:r w:rsidRPr="0006713C">
        <w:rPr>
          <w:szCs w:val="24"/>
        </w:rPr>
        <w:t xml:space="preserve"> </w:t>
      </w:r>
      <w:r w:rsidRPr="0006713C">
        <w:rPr>
          <w:szCs w:val="24"/>
          <w:u w:color="009C98" w:themeColor="accent1"/>
        </w:rPr>
        <w:t xml:space="preserve">Equality and Human Rights Commission (2020), </w:t>
      </w:r>
      <w:hyperlink r:id="rId28" w:history="1">
        <w:r w:rsidRPr="0006713C">
          <w:rPr>
            <w:rStyle w:val="Hyperlink"/>
            <w:color w:val="0B4E60" w:themeColor="text2"/>
            <w:szCs w:val="24"/>
          </w:rPr>
          <w:t>Health Secretary faces legal challenge for failing patients with le</w:t>
        </w:r>
        <w:r w:rsidR="0006713C" w:rsidRPr="0006713C">
          <w:rPr>
            <w:rStyle w:val="Hyperlink"/>
            <w:color w:val="0B4E60" w:themeColor="text2"/>
            <w:szCs w:val="24"/>
          </w:rPr>
          <w:t>arning disabilities and autism</w:t>
        </w:r>
      </w:hyperlink>
      <w:r w:rsidRPr="0006713C">
        <w:rPr>
          <w:szCs w:val="24"/>
          <w:u w:color="009C98" w:themeColor="accent1"/>
        </w:rPr>
        <w:t xml:space="preserve"> [accessed </w:t>
      </w:r>
      <w:r w:rsidRPr="00F417F4">
        <w:rPr>
          <w:szCs w:val="24"/>
          <w:u w:color="009C98" w:themeColor="accent1"/>
        </w:rPr>
        <w:t>3 March 2021</w:t>
      </w:r>
      <w:r w:rsidRPr="00F417F4">
        <w:rPr>
          <w:szCs w:val="24"/>
        </w:rPr>
        <w:t>].</w:t>
      </w:r>
    </w:p>
  </w:footnote>
  <w:footnote w:id="26">
    <w:p w14:paraId="0676B20E" w14:textId="6847FCC1" w:rsidR="00193935" w:rsidRPr="005A6C22" w:rsidRDefault="00193935" w:rsidP="00D5070B">
      <w:pPr>
        <w:pStyle w:val="FootnoteText"/>
        <w:rPr>
          <w:rFonts w:cs="Arial"/>
          <w:szCs w:val="24"/>
        </w:rPr>
      </w:pPr>
      <w:r w:rsidRPr="005A6C22">
        <w:rPr>
          <w:rStyle w:val="FootnoteReference"/>
          <w:rFonts w:cs="Arial"/>
          <w:szCs w:val="24"/>
        </w:rPr>
        <w:footnoteRef/>
      </w:r>
      <w:r w:rsidRPr="005A6C22">
        <w:rPr>
          <w:rFonts w:cs="Arial"/>
          <w:szCs w:val="24"/>
        </w:rPr>
        <w:t xml:space="preserve"> </w:t>
      </w:r>
      <w:hyperlink r:id="rId29" w:history="1">
        <w:r w:rsidRPr="0006713C">
          <w:rPr>
            <w:rStyle w:val="Hyperlink"/>
            <w:rFonts w:cs="Arial"/>
            <w:color w:val="0B4E60" w:themeColor="text2"/>
            <w:szCs w:val="24"/>
            <w:u w:val="none"/>
          </w:rPr>
          <w:t>NHS Digital (21 May 2020),</w:t>
        </w:r>
        <w:r>
          <w:rPr>
            <w:rStyle w:val="Hyperlink"/>
            <w:rFonts w:cs="Arial"/>
            <w:color w:val="0B4E60" w:themeColor="text2"/>
            <w:szCs w:val="24"/>
          </w:rPr>
          <w:t xml:space="preserve"> </w:t>
        </w:r>
        <w:r w:rsidRPr="00F417F4">
          <w:rPr>
            <w:rStyle w:val="Hyperlink"/>
            <w:rFonts w:cs="Arial"/>
            <w:color w:val="0B4E60" w:themeColor="text2"/>
            <w:szCs w:val="24"/>
          </w:rPr>
          <w:t>Learning Disability Services Monthly Statistics - (AT: April 2020, MHSDS: February 2020 Final)</w:t>
        </w:r>
        <w:r>
          <w:rPr>
            <w:rStyle w:val="Hyperlink"/>
            <w:rFonts w:cs="Arial"/>
            <w:color w:val="0B4E60" w:themeColor="text2"/>
            <w:szCs w:val="24"/>
          </w:rPr>
          <w:t xml:space="preserve">, </w:t>
        </w:r>
        <w:r w:rsidRPr="00F417F4">
          <w:rPr>
            <w:rStyle w:val="Hyperlink"/>
            <w:rFonts w:cs="Arial"/>
            <w:color w:val="0B4E60" w:themeColor="text2"/>
            <w:szCs w:val="24"/>
          </w:rPr>
          <w:t>MHSDS reference table 17</w:t>
        </w:r>
        <w:r>
          <w:rPr>
            <w:rStyle w:val="Hyperlink"/>
            <w:rFonts w:cs="Arial"/>
            <w:color w:val="0B4E60" w:themeColor="text2"/>
            <w:szCs w:val="24"/>
          </w:rPr>
          <w:t xml:space="preserve">, </w:t>
        </w:r>
      </w:hyperlink>
      <w:r w:rsidRPr="00F417F4">
        <w:rPr>
          <w:rFonts w:cs="Arial"/>
          <w:szCs w:val="24"/>
        </w:rPr>
        <w:t xml:space="preserve"> </w:t>
      </w:r>
      <w:r>
        <w:rPr>
          <w:rFonts w:cs="Arial"/>
          <w:szCs w:val="24"/>
        </w:rPr>
        <w:t>[accessed 6 May 2021];</w:t>
      </w:r>
      <w:r w:rsidRPr="005A6C22">
        <w:rPr>
          <w:rFonts w:cs="Arial"/>
          <w:szCs w:val="24"/>
        </w:rPr>
        <w:t xml:space="preserve"> </w:t>
      </w:r>
      <w:hyperlink r:id="rId30" w:history="1">
        <w:r w:rsidRPr="0006713C">
          <w:rPr>
            <w:rStyle w:val="Hyperlink"/>
            <w:rFonts w:cs="Arial"/>
            <w:color w:val="0B4E60" w:themeColor="text2"/>
            <w:szCs w:val="24"/>
            <w:u w:val="none"/>
          </w:rPr>
          <w:t>NHS Digital (18 February 2021),</w:t>
        </w:r>
        <w:r w:rsidR="0006713C" w:rsidRPr="0006713C">
          <w:rPr>
            <w:rStyle w:val="Hyperlink"/>
            <w:rFonts w:cs="Arial"/>
            <w:color w:val="0B4E60" w:themeColor="text2"/>
            <w:szCs w:val="24"/>
            <w:u w:val="none"/>
          </w:rPr>
          <w:t xml:space="preserve"> </w:t>
        </w:r>
        <w:r w:rsidRPr="00F417F4">
          <w:rPr>
            <w:rStyle w:val="Hyperlink"/>
            <w:rFonts w:cs="Arial"/>
            <w:color w:val="0B4E60" w:themeColor="text2"/>
            <w:szCs w:val="24"/>
          </w:rPr>
          <w:t xml:space="preserve">Learning Disability Services Monthly Statistics (AT: January 21, MHSDS: November 2020 Final), </w:t>
        </w:r>
        <w:r w:rsidRPr="0006713C">
          <w:rPr>
            <w:rStyle w:val="Hyperlink"/>
            <w:rFonts w:cs="Arial"/>
            <w:color w:val="0B4E60" w:themeColor="text2"/>
            <w:szCs w:val="24"/>
            <w:u w:val="none"/>
          </w:rPr>
          <w:t>MHSDS reference table 17</w:t>
        </w:r>
      </w:hyperlink>
      <w:r>
        <w:rPr>
          <w:rFonts w:cs="Arial"/>
          <w:szCs w:val="24"/>
        </w:rPr>
        <w:t xml:space="preserve"> [accessed 6 May 2021].</w:t>
      </w:r>
      <w:r w:rsidRPr="00F417F4">
        <w:rPr>
          <w:rFonts w:cs="Arial"/>
          <w:szCs w:val="24"/>
        </w:rPr>
        <w:t xml:space="preserve"> </w:t>
      </w:r>
    </w:p>
  </w:footnote>
  <w:footnote w:id="27">
    <w:p w14:paraId="12996DCC" w14:textId="0E94257C" w:rsidR="00193935" w:rsidRPr="005A6C22" w:rsidRDefault="00193935" w:rsidP="00D5070B">
      <w:pPr>
        <w:pStyle w:val="FootnoteText"/>
        <w:rPr>
          <w:rFonts w:cs="Arial"/>
          <w:szCs w:val="24"/>
        </w:rPr>
      </w:pPr>
      <w:r w:rsidRPr="005A6C22">
        <w:rPr>
          <w:rStyle w:val="FootnoteReference"/>
          <w:rFonts w:cs="Arial"/>
          <w:szCs w:val="24"/>
        </w:rPr>
        <w:footnoteRef/>
      </w:r>
      <w:hyperlink r:id="rId31" w:history="1">
        <w:r w:rsidRPr="0006713C">
          <w:rPr>
            <w:rStyle w:val="Hyperlink"/>
            <w:rFonts w:cs="Arial"/>
            <w:color w:val="0B4E60" w:themeColor="text2"/>
            <w:szCs w:val="24"/>
            <w:u w:val="none"/>
          </w:rPr>
          <w:t xml:space="preserve"> Mencap (17 September 2020), </w:t>
        </w:r>
        <w:r w:rsidRPr="00F417F4">
          <w:rPr>
            <w:rStyle w:val="Hyperlink"/>
            <w:rFonts w:cs="Arial"/>
            <w:color w:val="0B4E60" w:themeColor="text2"/>
            <w:szCs w:val="24"/>
          </w:rPr>
          <w:t>Mencap and the Challenging Behaviour Foundation warn that COVID-19 is causing even more delays to people with a learning disability and/or autism getting out of modern-day asylums</w:t>
        </w:r>
      </w:hyperlink>
      <w:r w:rsidRPr="00F417F4">
        <w:rPr>
          <w:rFonts w:cs="Arial"/>
          <w:szCs w:val="24"/>
        </w:rPr>
        <w:t xml:space="preserve"> [accessed 6 May 2021].</w:t>
      </w:r>
    </w:p>
  </w:footnote>
  <w:footnote w:id="28">
    <w:p w14:paraId="2315F31E" w14:textId="094BB3FF" w:rsidR="00193935" w:rsidRPr="005A6C22" w:rsidRDefault="00193935" w:rsidP="00D5070B">
      <w:pPr>
        <w:pStyle w:val="FootnoteText"/>
        <w:rPr>
          <w:szCs w:val="24"/>
        </w:rPr>
      </w:pPr>
      <w:r w:rsidRPr="005A6C22">
        <w:rPr>
          <w:rStyle w:val="FootnoteReference"/>
          <w:rFonts w:ascii="Arial" w:hAnsi="Arial" w:cs="Arial"/>
          <w:color w:val="auto"/>
          <w:szCs w:val="24"/>
        </w:rPr>
        <w:footnoteRef/>
      </w:r>
      <w:r w:rsidRPr="005A6C22">
        <w:rPr>
          <w:szCs w:val="24"/>
        </w:rPr>
        <w:t xml:space="preserve"> </w:t>
      </w:r>
      <w:hyperlink r:id="rId32" w:history="1">
        <w:r w:rsidRPr="0006713C">
          <w:rPr>
            <w:rStyle w:val="Hyperlink"/>
            <w:color w:val="0B4E60" w:themeColor="text2"/>
            <w:szCs w:val="24"/>
            <w:u w:val="none"/>
          </w:rPr>
          <w:t xml:space="preserve">Care Quality Commission (2020), </w:t>
        </w:r>
        <w:r w:rsidRPr="00F417F4">
          <w:rPr>
            <w:rStyle w:val="Hyperlink"/>
            <w:bCs/>
            <w:color w:val="0B4E60" w:themeColor="text2"/>
            <w:szCs w:val="24"/>
          </w:rPr>
          <w:t>CQC publishes data on deaths of people with a learning disability</w:t>
        </w:r>
        <w:r w:rsidRPr="00F417F4" w:rsidDel="0070694E">
          <w:rPr>
            <w:rStyle w:val="Hyperlink"/>
            <w:bCs/>
            <w:color w:val="0B4E60" w:themeColor="text2"/>
            <w:szCs w:val="24"/>
          </w:rPr>
          <w:t xml:space="preserve"> </w:t>
        </w:r>
        <w:r w:rsidRPr="00F417F4">
          <w:rPr>
            <w:rStyle w:val="Hyperlink"/>
            <w:bCs/>
            <w:color w:val="0B4E60" w:themeColor="text2"/>
            <w:szCs w:val="24"/>
            <w:u w:val="none"/>
          </w:rPr>
          <w:t>[accessed 3 March 2021]</w:t>
        </w:r>
      </w:hyperlink>
      <w:r w:rsidRPr="00F417F4">
        <w:rPr>
          <w:bCs/>
          <w:szCs w:val="24"/>
        </w:rPr>
        <w:t>;</w:t>
      </w:r>
      <w:r w:rsidRPr="00F417F4">
        <w:rPr>
          <w:szCs w:val="24"/>
        </w:rPr>
        <w:t xml:space="preserve"> </w:t>
      </w:r>
      <w:hyperlink r:id="rId33" w:history="1">
        <w:r w:rsidRPr="0006713C">
          <w:rPr>
            <w:rStyle w:val="Hyperlink"/>
            <w:color w:val="0B4E60" w:themeColor="text2"/>
            <w:szCs w:val="24"/>
            <w:u w:val="none"/>
          </w:rPr>
          <w:t xml:space="preserve">Public Health England (2020), </w:t>
        </w:r>
        <w:r w:rsidRPr="00F417F4">
          <w:rPr>
            <w:rStyle w:val="Hyperlink"/>
            <w:rFonts w:ascii="Arial" w:hAnsi="Arial" w:cs="Arial"/>
            <w:color w:val="0B4E60" w:themeColor="text2"/>
            <w:szCs w:val="24"/>
          </w:rPr>
          <w:t>Deaths of people identified as having learning disabilities with COVID-19 in the spring of 2020</w:t>
        </w:r>
      </w:hyperlink>
      <w:r w:rsidRPr="00F417F4">
        <w:rPr>
          <w:rFonts w:ascii="Arial" w:hAnsi="Arial" w:cs="Arial"/>
          <w:szCs w:val="24"/>
          <w:u w:color="009C98" w:themeColor="accent1"/>
        </w:rPr>
        <w:t xml:space="preserve"> [accessed 6 May 2021]</w:t>
      </w:r>
      <w:r>
        <w:rPr>
          <w:rFonts w:ascii="Arial" w:hAnsi="Arial" w:cs="Arial"/>
          <w:szCs w:val="24"/>
          <w:u w:color="009C98" w:themeColor="accent1"/>
        </w:rPr>
        <w:t>.</w:t>
      </w:r>
    </w:p>
  </w:footnote>
  <w:footnote w:id="29">
    <w:p w14:paraId="3F62D41D" w14:textId="1C4BF249" w:rsidR="00193935" w:rsidRPr="00F417F4" w:rsidRDefault="00193935" w:rsidP="00D5070B">
      <w:pPr>
        <w:pStyle w:val="FootnoteText"/>
        <w:rPr>
          <w:rFonts w:cs="Arial"/>
          <w:szCs w:val="24"/>
        </w:rPr>
      </w:pPr>
      <w:r w:rsidRPr="005A6C22">
        <w:rPr>
          <w:rStyle w:val="FootnoteReference"/>
          <w:rFonts w:cs="Arial"/>
          <w:szCs w:val="24"/>
        </w:rPr>
        <w:footnoteRef/>
      </w:r>
      <w:r w:rsidRPr="005A6C22">
        <w:rPr>
          <w:rFonts w:cs="Arial"/>
          <w:szCs w:val="24"/>
        </w:rPr>
        <w:t xml:space="preserve"> </w:t>
      </w:r>
      <w:r w:rsidRPr="00F417F4">
        <w:rPr>
          <w:rFonts w:cs="Arial"/>
          <w:szCs w:val="24"/>
        </w:rPr>
        <w:t xml:space="preserve">NHS Digital (2020), </w:t>
      </w:r>
      <w:hyperlink r:id="rId34" w:history="1">
        <w:r w:rsidRPr="00F417F4">
          <w:rPr>
            <w:rStyle w:val="Hyperlink"/>
            <w:rFonts w:cs="Arial"/>
            <w:color w:val="0B4E60" w:themeColor="text2"/>
            <w:szCs w:val="24"/>
          </w:rPr>
          <w:t>Mental Health Act statistics, annual figures 2019-20</w:t>
        </w:r>
      </w:hyperlink>
      <w:r>
        <w:rPr>
          <w:rFonts w:cs="Arial"/>
          <w:szCs w:val="24"/>
        </w:rPr>
        <w:t xml:space="preserve"> [accessed 6 May 2021].</w:t>
      </w:r>
      <w:r w:rsidRPr="00F417F4">
        <w:rPr>
          <w:rFonts w:cs="Arial"/>
          <w:szCs w:val="24"/>
        </w:rPr>
        <w:t xml:space="preserve"> </w:t>
      </w:r>
    </w:p>
  </w:footnote>
  <w:footnote w:id="30">
    <w:p w14:paraId="577DFF4E" w14:textId="2785AAA3" w:rsidR="00193935" w:rsidRPr="00F417F4" w:rsidRDefault="00193935" w:rsidP="00D5070B">
      <w:pPr>
        <w:pStyle w:val="FootnoteText"/>
        <w:rPr>
          <w:rFonts w:cs="Arial"/>
          <w:szCs w:val="24"/>
        </w:rPr>
      </w:pPr>
      <w:r w:rsidRPr="00F417F4">
        <w:rPr>
          <w:rStyle w:val="FootnoteReference"/>
          <w:rFonts w:cs="Arial"/>
          <w:szCs w:val="24"/>
        </w:rPr>
        <w:footnoteRef/>
      </w:r>
      <w:r w:rsidRPr="00F417F4">
        <w:rPr>
          <w:rFonts w:cs="Arial"/>
          <w:szCs w:val="24"/>
        </w:rPr>
        <w:t xml:space="preserve"> C</w:t>
      </w:r>
      <w:r>
        <w:rPr>
          <w:rFonts w:cs="Arial"/>
          <w:szCs w:val="24"/>
        </w:rPr>
        <w:t xml:space="preserve">are </w:t>
      </w:r>
      <w:r w:rsidRPr="00F417F4">
        <w:rPr>
          <w:rFonts w:cs="Arial"/>
          <w:szCs w:val="24"/>
        </w:rPr>
        <w:t>Q</w:t>
      </w:r>
      <w:r>
        <w:rPr>
          <w:rFonts w:cs="Arial"/>
          <w:szCs w:val="24"/>
        </w:rPr>
        <w:t xml:space="preserve">uality </w:t>
      </w:r>
      <w:r w:rsidRPr="00F417F4">
        <w:rPr>
          <w:rFonts w:cs="Arial"/>
          <w:szCs w:val="24"/>
        </w:rPr>
        <w:t>C</w:t>
      </w:r>
      <w:r>
        <w:rPr>
          <w:rFonts w:cs="Arial"/>
          <w:szCs w:val="24"/>
        </w:rPr>
        <w:t>ommission</w:t>
      </w:r>
      <w:r w:rsidRPr="00F417F4">
        <w:rPr>
          <w:rFonts w:cs="Arial"/>
          <w:szCs w:val="24"/>
        </w:rPr>
        <w:t xml:space="preserve"> (2020), </w:t>
      </w:r>
      <w:hyperlink r:id="rId35" w:history="1">
        <w:r w:rsidRPr="00F417F4">
          <w:rPr>
            <w:rStyle w:val="Hyperlink"/>
            <w:rFonts w:cs="Arial"/>
            <w:color w:val="0B4E60" w:themeColor="text2"/>
            <w:szCs w:val="24"/>
          </w:rPr>
          <w:t>Community mental health survey</w:t>
        </w:r>
      </w:hyperlink>
      <w:r w:rsidRPr="00F417F4">
        <w:rPr>
          <w:rStyle w:val="Hyperlink"/>
          <w:rFonts w:cs="Arial"/>
          <w:color w:val="0B4E60" w:themeColor="text2"/>
          <w:szCs w:val="24"/>
        </w:rPr>
        <w:t xml:space="preserve"> 2020</w:t>
      </w:r>
      <w:r>
        <w:rPr>
          <w:rFonts w:cs="Arial"/>
          <w:szCs w:val="24"/>
        </w:rPr>
        <w:t xml:space="preserve"> [accessed 6 May 2021].</w:t>
      </w:r>
    </w:p>
  </w:footnote>
  <w:footnote w:id="31">
    <w:p w14:paraId="45B2020F" w14:textId="699DDD53" w:rsidR="00193935" w:rsidRPr="00F417F4" w:rsidRDefault="00193935" w:rsidP="00D5070B">
      <w:pPr>
        <w:pStyle w:val="FootnoteText"/>
        <w:rPr>
          <w:rFonts w:cs="Arial"/>
          <w:szCs w:val="24"/>
        </w:rPr>
      </w:pPr>
      <w:r w:rsidRPr="00F417F4">
        <w:rPr>
          <w:rStyle w:val="FootnoteReference"/>
          <w:rFonts w:cs="Arial"/>
          <w:szCs w:val="24"/>
        </w:rPr>
        <w:footnoteRef/>
      </w:r>
      <w:r w:rsidRPr="00F417F4">
        <w:rPr>
          <w:rFonts w:cs="Arial"/>
          <w:szCs w:val="24"/>
        </w:rPr>
        <w:t xml:space="preserve"> C</w:t>
      </w:r>
      <w:r>
        <w:rPr>
          <w:rFonts w:cs="Arial"/>
          <w:szCs w:val="24"/>
        </w:rPr>
        <w:t xml:space="preserve">are </w:t>
      </w:r>
      <w:r w:rsidRPr="00F417F4">
        <w:rPr>
          <w:rFonts w:cs="Arial"/>
          <w:szCs w:val="24"/>
        </w:rPr>
        <w:t>Q</w:t>
      </w:r>
      <w:r>
        <w:rPr>
          <w:rFonts w:cs="Arial"/>
          <w:szCs w:val="24"/>
        </w:rPr>
        <w:t xml:space="preserve">uality </w:t>
      </w:r>
      <w:r w:rsidRPr="00F417F4">
        <w:rPr>
          <w:rFonts w:cs="Arial"/>
          <w:szCs w:val="24"/>
        </w:rPr>
        <w:t>C</w:t>
      </w:r>
      <w:r>
        <w:rPr>
          <w:rFonts w:cs="Arial"/>
          <w:szCs w:val="24"/>
        </w:rPr>
        <w:t>ommission</w:t>
      </w:r>
      <w:r w:rsidRPr="00F417F4">
        <w:rPr>
          <w:rFonts w:cs="Arial"/>
        </w:rPr>
        <w:t xml:space="preserve"> (2018), </w:t>
      </w:r>
      <w:hyperlink r:id="rId36" w:history="1">
        <w:r w:rsidRPr="00F417F4">
          <w:rPr>
            <w:rStyle w:val="Hyperlink"/>
            <w:rFonts w:cs="Arial"/>
            <w:color w:val="0B4E60" w:themeColor="text2"/>
          </w:rPr>
          <w:t>Monitoring the Mental Health Act in 2016/17</w:t>
        </w:r>
      </w:hyperlink>
      <w:r>
        <w:rPr>
          <w:rFonts w:cs="Arial"/>
        </w:rPr>
        <w:t xml:space="preserve"> </w:t>
      </w:r>
      <w:r>
        <w:rPr>
          <w:rFonts w:cs="Arial"/>
          <w:szCs w:val="24"/>
        </w:rPr>
        <w:t>[accessed 6 May 2021].</w:t>
      </w:r>
    </w:p>
  </w:footnote>
  <w:footnote w:id="32">
    <w:p w14:paraId="2324F649" w14:textId="77777777" w:rsidR="00193935" w:rsidRPr="00F417F4" w:rsidRDefault="00193935" w:rsidP="00D5070B">
      <w:pPr>
        <w:pStyle w:val="FootnoteText"/>
        <w:rPr>
          <w:rFonts w:cs="Arial"/>
          <w:szCs w:val="24"/>
        </w:rPr>
      </w:pPr>
      <w:r w:rsidRPr="00F417F4">
        <w:rPr>
          <w:rStyle w:val="FootnoteReference"/>
          <w:rFonts w:cs="Arial"/>
          <w:szCs w:val="24"/>
        </w:rPr>
        <w:footnoteRef/>
      </w:r>
      <w:r w:rsidRPr="00F417F4">
        <w:rPr>
          <w:rFonts w:cs="Arial"/>
          <w:szCs w:val="24"/>
        </w:rPr>
        <w:t xml:space="preserve"> Ibid.</w:t>
      </w:r>
    </w:p>
  </w:footnote>
  <w:footnote w:id="33">
    <w:p w14:paraId="5C091A92" w14:textId="4D38D5DE" w:rsidR="00193935" w:rsidRPr="00F417F4" w:rsidRDefault="00193935" w:rsidP="00D5070B">
      <w:pPr>
        <w:pStyle w:val="FootnoteText"/>
        <w:rPr>
          <w:rFonts w:cs="Arial"/>
          <w:szCs w:val="24"/>
        </w:rPr>
      </w:pPr>
      <w:r w:rsidRPr="00F417F4">
        <w:rPr>
          <w:rStyle w:val="FootnoteReference"/>
          <w:rFonts w:cs="Arial"/>
          <w:szCs w:val="24"/>
        </w:rPr>
        <w:footnoteRef/>
      </w:r>
      <w:r w:rsidRPr="00F417F4">
        <w:rPr>
          <w:rFonts w:cs="Arial"/>
          <w:szCs w:val="24"/>
        </w:rPr>
        <w:t xml:space="preserve"> NHS England (2016), </w:t>
      </w:r>
      <w:hyperlink r:id="rId37" w:history="1">
        <w:r w:rsidRPr="00F417F4">
          <w:rPr>
            <w:rStyle w:val="Hyperlink"/>
            <w:rFonts w:cs="Arial"/>
            <w:color w:val="0B4E60" w:themeColor="text2"/>
            <w:szCs w:val="24"/>
          </w:rPr>
          <w:t>Five Year Forward View for Mental Health</w:t>
        </w:r>
      </w:hyperlink>
      <w:r>
        <w:rPr>
          <w:rStyle w:val="Hyperlink"/>
          <w:rFonts w:cs="Arial"/>
          <w:color w:val="0B4E60" w:themeColor="text2"/>
          <w:szCs w:val="24"/>
        </w:rPr>
        <w:t xml:space="preserve"> </w:t>
      </w:r>
      <w:r>
        <w:rPr>
          <w:rFonts w:cs="Arial"/>
          <w:szCs w:val="24"/>
        </w:rPr>
        <w:t>[accessed 6 May 2021]</w:t>
      </w:r>
      <w:r w:rsidRPr="00F417F4">
        <w:rPr>
          <w:rStyle w:val="Hyperlink"/>
          <w:rFonts w:cs="Arial"/>
          <w:color w:val="0B4E60" w:themeColor="text2"/>
          <w:szCs w:val="24"/>
        </w:rPr>
        <w:t>;</w:t>
      </w:r>
      <w:r w:rsidRPr="00F417F4">
        <w:rPr>
          <w:rFonts w:cs="Arial"/>
          <w:szCs w:val="24"/>
        </w:rPr>
        <w:t xml:space="preserve"> NHS England (2019), </w:t>
      </w:r>
      <w:hyperlink r:id="rId38" w:history="1">
        <w:r w:rsidRPr="00F417F4">
          <w:rPr>
            <w:rStyle w:val="Hyperlink"/>
            <w:rFonts w:cs="Arial"/>
            <w:color w:val="0B4E60" w:themeColor="text2"/>
            <w:szCs w:val="24"/>
          </w:rPr>
          <w:t>NHS Long Term Plan</w:t>
        </w:r>
      </w:hyperlink>
      <w:r>
        <w:rPr>
          <w:rFonts w:cs="Arial"/>
          <w:szCs w:val="24"/>
        </w:rPr>
        <w:t xml:space="preserve"> [accessed 6 May 2021].</w:t>
      </w:r>
    </w:p>
  </w:footnote>
  <w:footnote w:id="34">
    <w:p w14:paraId="644D3AE3" w14:textId="6CA27F96" w:rsidR="00193935" w:rsidRPr="00F417F4" w:rsidRDefault="00193935" w:rsidP="00D5070B">
      <w:pPr>
        <w:pStyle w:val="FootnoteText"/>
        <w:rPr>
          <w:rFonts w:cs="Arial"/>
          <w:szCs w:val="24"/>
        </w:rPr>
      </w:pPr>
      <w:r w:rsidRPr="00F417F4">
        <w:rPr>
          <w:rStyle w:val="FootnoteReference"/>
          <w:rFonts w:cs="Arial"/>
          <w:szCs w:val="24"/>
        </w:rPr>
        <w:footnoteRef/>
      </w:r>
      <w:r w:rsidRPr="00F417F4">
        <w:rPr>
          <w:rFonts w:cs="Arial"/>
          <w:szCs w:val="24"/>
        </w:rPr>
        <w:t xml:space="preserve"> NHS Digital (2020), </w:t>
      </w:r>
      <w:hyperlink r:id="rId39" w:history="1">
        <w:r w:rsidRPr="00F417F4">
          <w:rPr>
            <w:rStyle w:val="Hyperlink"/>
            <w:rFonts w:cs="Arial"/>
            <w:color w:val="0B4E60" w:themeColor="text2"/>
            <w:szCs w:val="24"/>
          </w:rPr>
          <w:t>Mental health of children and young people in England, 2020</w:t>
        </w:r>
      </w:hyperlink>
      <w:r>
        <w:rPr>
          <w:rFonts w:cs="Arial"/>
          <w:szCs w:val="24"/>
        </w:rPr>
        <w:t xml:space="preserve"> [accessed 6 May 2021].</w:t>
      </w:r>
      <w:r w:rsidRPr="00F417F4">
        <w:rPr>
          <w:rFonts w:cs="Arial"/>
          <w:szCs w:val="24"/>
        </w:rPr>
        <w:t xml:space="preserve">  </w:t>
      </w:r>
    </w:p>
  </w:footnote>
  <w:footnote w:id="35">
    <w:p w14:paraId="01D90D3B" w14:textId="57E8A347" w:rsidR="00193935" w:rsidRDefault="00193935" w:rsidP="00D5070B">
      <w:pPr>
        <w:pStyle w:val="FootnoteText"/>
      </w:pPr>
      <w:r w:rsidRPr="00F417F4">
        <w:rPr>
          <w:rStyle w:val="FootnoteReference"/>
          <w:szCs w:val="24"/>
        </w:rPr>
        <w:footnoteRef/>
      </w:r>
      <w:r w:rsidRPr="00F417F4">
        <w:rPr>
          <w:szCs w:val="24"/>
        </w:rPr>
        <w:t xml:space="preserve"> NHS England (2020), </w:t>
      </w:r>
      <w:hyperlink r:id="rId40" w:history="1">
        <w:r w:rsidRPr="00F417F4">
          <w:rPr>
            <w:rStyle w:val="Hyperlink"/>
            <w:color w:val="0B4E60" w:themeColor="text2"/>
            <w:szCs w:val="24"/>
          </w:rPr>
          <w:t>NHS Mental Health Dashboard Q1 2020/21</w:t>
        </w:r>
      </w:hyperlink>
      <w:r>
        <w:rPr>
          <w:rStyle w:val="Hyperlink"/>
          <w:color w:val="0B4E60" w:themeColor="text2"/>
          <w:szCs w:val="24"/>
        </w:rPr>
        <w:t xml:space="preserve"> </w:t>
      </w:r>
      <w:r>
        <w:rPr>
          <w:rFonts w:cs="Arial"/>
          <w:szCs w:val="24"/>
        </w:rPr>
        <w:t>[accessed 6 May 2021].</w:t>
      </w:r>
    </w:p>
  </w:footnote>
  <w:footnote w:id="36">
    <w:p w14:paraId="08FCF817" w14:textId="5309957A" w:rsidR="00193935" w:rsidRPr="005A6C22" w:rsidRDefault="00193935" w:rsidP="00E25788">
      <w:pPr>
        <w:pStyle w:val="FootnoteText"/>
        <w:rPr>
          <w:szCs w:val="24"/>
        </w:rPr>
      </w:pPr>
      <w:r w:rsidRPr="005A6C22">
        <w:rPr>
          <w:rStyle w:val="FootnoteReference"/>
          <w:szCs w:val="24"/>
        </w:rPr>
        <w:footnoteRef/>
      </w:r>
      <w:r w:rsidRPr="005A6C22">
        <w:rPr>
          <w:szCs w:val="24"/>
        </w:rPr>
        <w:t xml:space="preserve"> </w:t>
      </w:r>
      <w:r w:rsidRPr="0091063B">
        <w:rPr>
          <w:szCs w:val="24"/>
        </w:rPr>
        <w:t>Rethi</w:t>
      </w:r>
      <w:r>
        <w:rPr>
          <w:szCs w:val="24"/>
        </w:rPr>
        <w:t xml:space="preserve">nk Mental Illness (June 2020), </w:t>
      </w:r>
      <w:hyperlink r:id="rId41" w:history="1">
        <w:r w:rsidRPr="0091063B">
          <w:rPr>
            <w:rStyle w:val="Hyperlink"/>
            <w:color w:val="0B4E60" w:themeColor="text2"/>
            <w:szCs w:val="24"/>
          </w:rPr>
          <w:t>Access to NHS mental health services for people living with severe mental illness</w:t>
        </w:r>
      </w:hyperlink>
      <w:r>
        <w:rPr>
          <w:szCs w:val="24"/>
        </w:rPr>
        <w:t xml:space="preserve"> </w:t>
      </w:r>
      <w:r>
        <w:rPr>
          <w:rFonts w:cs="Arial"/>
          <w:szCs w:val="24"/>
        </w:rPr>
        <w:t>[accessed 6 May 2021]</w:t>
      </w:r>
      <w:r w:rsidRPr="0091063B">
        <w:rPr>
          <w:szCs w:val="24"/>
        </w:rPr>
        <w:t>; Rethink</w:t>
      </w:r>
      <w:r>
        <w:rPr>
          <w:szCs w:val="24"/>
        </w:rPr>
        <w:t xml:space="preserve"> Mental Illness (7 July 2020), </w:t>
      </w:r>
      <w:hyperlink r:id="rId42" w:history="1">
        <w:r w:rsidRPr="0091063B">
          <w:rPr>
            <w:rStyle w:val="Hyperlink"/>
            <w:color w:val="0B4E60" w:themeColor="text2"/>
            <w:szCs w:val="24"/>
          </w:rPr>
          <w:t>How Covid-19 limited my access to mental health support</w:t>
        </w:r>
      </w:hyperlink>
      <w:r>
        <w:rPr>
          <w:szCs w:val="24"/>
        </w:rPr>
        <w:t xml:space="preserve"> </w:t>
      </w:r>
      <w:r>
        <w:rPr>
          <w:rFonts w:cs="Arial"/>
          <w:szCs w:val="24"/>
        </w:rPr>
        <w:t>[accessed 6 May 2021]</w:t>
      </w:r>
      <w:r w:rsidRPr="0091063B">
        <w:rPr>
          <w:szCs w:val="24"/>
        </w:rPr>
        <w:t xml:space="preserve">; </w:t>
      </w:r>
      <w:bookmarkStart w:id="35" w:name="_Hlk66707511"/>
      <w:r w:rsidRPr="0091063B">
        <w:fldChar w:fldCharType="begin"/>
      </w:r>
      <w:r w:rsidRPr="0091063B">
        <w:instrText xml:space="preserve"> HYPERLINK "https://committees.parliament.uk/oralevidence/579/pdf/" </w:instrText>
      </w:r>
      <w:r w:rsidRPr="0091063B">
        <w:fldChar w:fldCharType="separate"/>
      </w:r>
      <w:r w:rsidRPr="0091063B">
        <w:rPr>
          <w:rStyle w:val="Hyperlink"/>
          <w:color w:val="0B4E60" w:themeColor="text2"/>
          <w:szCs w:val="24"/>
          <w:u w:val="none"/>
        </w:rPr>
        <w:t xml:space="preserve">Women and Equalities Committee (24 June 2020), </w:t>
      </w:r>
      <w:r w:rsidRPr="0091063B">
        <w:rPr>
          <w:rStyle w:val="Hyperlink"/>
          <w:color w:val="0B4E60" w:themeColor="text2"/>
          <w:szCs w:val="24"/>
        </w:rPr>
        <w:t>Oral evidence: Unequal impact? Coronavirus, disability and access to services</w:t>
      </w:r>
      <w:r w:rsidRPr="0091063B">
        <w:rPr>
          <w:rStyle w:val="Hyperlink"/>
          <w:color w:val="0B4E60" w:themeColor="text2"/>
          <w:szCs w:val="24"/>
        </w:rPr>
        <w:fldChar w:fldCharType="end"/>
      </w:r>
      <w:r w:rsidRPr="0091063B">
        <w:rPr>
          <w:rStyle w:val="Hyperlink"/>
          <w:color w:val="0B4E60" w:themeColor="text2"/>
          <w:szCs w:val="24"/>
        </w:rPr>
        <w:t>’</w:t>
      </w:r>
      <w:r>
        <w:rPr>
          <w:szCs w:val="24"/>
        </w:rPr>
        <w:t xml:space="preserve"> </w:t>
      </w:r>
      <w:r>
        <w:rPr>
          <w:rFonts w:cs="Arial"/>
          <w:szCs w:val="24"/>
        </w:rPr>
        <w:t>[accessed 6 May 2021]</w:t>
      </w:r>
    </w:p>
    <w:bookmarkEnd w:id="35"/>
  </w:footnote>
  <w:footnote w:id="37">
    <w:p w14:paraId="6BC63DE7" w14:textId="3F07F7F9" w:rsidR="00193935" w:rsidRPr="005A6C22" w:rsidRDefault="00193935" w:rsidP="00E25788">
      <w:pPr>
        <w:pStyle w:val="FootnoteText"/>
        <w:rPr>
          <w:rFonts w:cs="Arial"/>
          <w:szCs w:val="24"/>
        </w:rPr>
      </w:pPr>
      <w:r w:rsidRPr="005A6C22">
        <w:rPr>
          <w:rStyle w:val="FootnoteReference"/>
          <w:rFonts w:cs="Arial"/>
          <w:szCs w:val="24"/>
        </w:rPr>
        <w:footnoteRef/>
      </w:r>
      <w:r w:rsidRPr="005A6C22">
        <w:rPr>
          <w:rFonts w:cs="Arial"/>
          <w:szCs w:val="24"/>
        </w:rPr>
        <w:t xml:space="preserve"> </w:t>
      </w:r>
      <w:r w:rsidRPr="0091063B">
        <w:rPr>
          <w:rFonts w:cs="Arial"/>
          <w:szCs w:val="24"/>
        </w:rPr>
        <w:t>C</w:t>
      </w:r>
      <w:r>
        <w:rPr>
          <w:rFonts w:cs="Arial"/>
          <w:szCs w:val="24"/>
        </w:rPr>
        <w:t xml:space="preserve">are </w:t>
      </w:r>
      <w:r w:rsidRPr="0091063B">
        <w:rPr>
          <w:rFonts w:cs="Arial"/>
          <w:szCs w:val="24"/>
        </w:rPr>
        <w:t>Q</w:t>
      </w:r>
      <w:r>
        <w:rPr>
          <w:rFonts w:cs="Arial"/>
          <w:szCs w:val="24"/>
        </w:rPr>
        <w:t xml:space="preserve">uality </w:t>
      </w:r>
      <w:r w:rsidRPr="0091063B">
        <w:rPr>
          <w:rFonts w:cs="Arial"/>
          <w:szCs w:val="24"/>
        </w:rPr>
        <w:t>C</w:t>
      </w:r>
      <w:r>
        <w:rPr>
          <w:rFonts w:cs="Arial"/>
          <w:szCs w:val="24"/>
        </w:rPr>
        <w:t>ommission</w:t>
      </w:r>
      <w:r w:rsidRPr="0091063B">
        <w:rPr>
          <w:rFonts w:cs="Arial"/>
          <w:szCs w:val="24"/>
        </w:rPr>
        <w:t xml:space="preserve"> (November 2020), ‘</w:t>
      </w:r>
      <w:hyperlink r:id="rId43" w:history="1">
        <w:r w:rsidRPr="0091063B">
          <w:rPr>
            <w:rStyle w:val="Hyperlink"/>
            <w:rFonts w:cs="Arial"/>
            <w:color w:val="0B4E60" w:themeColor="text2"/>
            <w:szCs w:val="24"/>
          </w:rPr>
          <w:t>Monitoring the Mental Health Act in 2019/20: The Mental Health Act in the coronavirus (COVID-19) pandemic</w:t>
        </w:r>
      </w:hyperlink>
      <w:r>
        <w:rPr>
          <w:rFonts w:cs="Arial"/>
          <w:szCs w:val="24"/>
        </w:rPr>
        <w:t>, page 22, [accessed 6 May 2021].</w:t>
      </w:r>
    </w:p>
  </w:footnote>
  <w:footnote w:id="38">
    <w:p w14:paraId="2F41C5EC" w14:textId="66ADE7EC" w:rsidR="00193935" w:rsidRPr="005A6C22" w:rsidRDefault="00193935" w:rsidP="00E25788">
      <w:pPr>
        <w:pStyle w:val="FootnoteText"/>
        <w:rPr>
          <w:rFonts w:cs="Arial"/>
          <w:szCs w:val="24"/>
        </w:rPr>
      </w:pPr>
      <w:r w:rsidRPr="0091063B">
        <w:rPr>
          <w:rStyle w:val="FootnoteReference"/>
          <w:rFonts w:cs="Arial"/>
          <w:szCs w:val="24"/>
        </w:rPr>
        <w:footnoteRef/>
      </w:r>
      <w:r w:rsidRPr="0091063B">
        <w:rPr>
          <w:rFonts w:cs="Arial"/>
          <w:szCs w:val="24"/>
        </w:rPr>
        <w:t xml:space="preserve"> Ibid., pp. 19–20. The increase in the proportion of first-time admissions is in the context of an overall reduction in admissions in that period. </w:t>
      </w:r>
    </w:p>
  </w:footnote>
  <w:footnote w:id="39">
    <w:p w14:paraId="0952C415" w14:textId="3E69D683" w:rsidR="00193935" w:rsidRPr="005A6C22" w:rsidRDefault="00193935" w:rsidP="00E25788">
      <w:pPr>
        <w:pStyle w:val="FootnoteText"/>
        <w:rPr>
          <w:rFonts w:cs="Arial"/>
          <w:szCs w:val="24"/>
        </w:rPr>
      </w:pPr>
      <w:r w:rsidRPr="005A6C22">
        <w:rPr>
          <w:rStyle w:val="FootnoteReference"/>
          <w:rFonts w:cs="Arial"/>
          <w:szCs w:val="24"/>
        </w:rPr>
        <w:footnoteRef/>
      </w:r>
      <w:r w:rsidRPr="005A6C22">
        <w:rPr>
          <w:rFonts w:cs="Arial"/>
          <w:szCs w:val="24"/>
        </w:rPr>
        <w:t xml:space="preserve"> </w:t>
      </w:r>
      <w:r w:rsidRPr="0091063B">
        <w:rPr>
          <w:rFonts w:cs="Arial"/>
          <w:szCs w:val="24"/>
        </w:rPr>
        <w:t>NHS Confederation and NHS Reset</w:t>
      </w:r>
      <w:r>
        <w:rPr>
          <w:rFonts w:cs="Arial"/>
          <w:szCs w:val="24"/>
        </w:rPr>
        <w:t xml:space="preserve"> (August 2020), </w:t>
      </w:r>
      <w:hyperlink r:id="rId44" w:history="1">
        <w:r w:rsidRPr="0091063B">
          <w:rPr>
            <w:rStyle w:val="Hyperlink"/>
            <w:rFonts w:cs="Arial"/>
            <w:color w:val="0B4E60" w:themeColor="text2"/>
            <w:szCs w:val="24"/>
          </w:rPr>
          <w:t>Mental health services and COVID-19: Preparing for the rising tide</w:t>
        </w:r>
      </w:hyperlink>
      <w:r>
        <w:rPr>
          <w:rStyle w:val="Hyperlink"/>
          <w:rFonts w:cs="Arial"/>
          <w:color w:val="0B4E60" w:themeColor="text2"/>
          <w:szCs w:val="24"/>
        </w:rPr>
        <w:t xml:space="preserve"> </w:t>
      </w:r>
      <w:r>
        <w:rPr>
          <w:rFonts w:cs="Arial"/>
          <w:szCs w:val="24"/>
        </w:rPr>
        <w:t>[accessed 6 May 2021].</w:t>
      </w:r>
    </w:p>
  </w:footnote>
  <w:footnote w:id="40">
    <w:p w14:paraId="473908D5" w14:textId="6B4CE270" w:rsidR="00193935" w:rsidRPr="005A6C22" w:rsidRDefault="00193935" w:rsidP="00E25788">
      <w:pPr>
        <w:pStyle w:val="FootnoteText"/>
        <w:rPr>
          <w:rFonts w:cs="Arial"/>
          <w:szCs w:val="24"/>
        </w:rPr>
      </w:pPr>
      <w:r w:rsidRPr="0091063B">
        <w:rPr>
          <w:rStyle w:val="FootnoteReference"/>
          <w:rFonts w:cs="Arial"/>
          <w:szCs w:val="24"/>
        </w:rPr>
        <w:footnoteRef/>
      </w:r>
      <w:r w:rsidRPr="0091063B">
        <w:rPr>
          <w:rFonts w:cs="Arial"/>
          <w:szCs w:val="24"/>
        </w:rPr>
        <w:t xml:space="preserve"> Centre for</w:t>
      </w:r>
      <w:r>
        <w:rPr>
          <w:rFonts w:cs="Arial"/>
          <w:szCs w:val="24"/>
        </w:rPr>
        <w:t xml:space="preserve"> Mental Health (October 2020), </w:t>
      </w:r>
      <w:hyperlink r:id="rId45" w:history="1">
        <w:r w:rsidRPr="0091063B">
          <w:rPr>
            <w:rStyle w:val="Hyperlink"/>
            <w:rFonts w:cs="Arial"/>
            <w:color w:val="0B4E60" w:themeColor="text2"/>
            <w:szCs w:val="24"/>
          </w:rPr>
          <w:t>COVID-19 and the nation’s mental health: Forecasting needs and risks in the UK</w:t>
        </w:r>
      </w:hyperlink>
      <w:r>
        <w:rPr>
          <w:rFonts w:cs="Arial"/>
          <w:szCs w:val="24"/>
        </w:rPr>
        <w:t xml:space="preserve"> [accessed 6 May 2021].</w:t>
      </w:r>
    </w:p>
  </w:footnote>
  <w:footnote w:id="41">
    <w:p w14:paraId="7214BDD9" w14:textId="155713EF" w:rsidR="00193935" w:rsidRPr="001A78AA" w:rsidRDefault="00193935" w:rsidP="00E25788">
      <w:pPr>
        <w:pStyle w:val="FootnoteText"/>
        <w:rPr>
          <w:rFonts w:cs="Arial"/>
        </w:rPr>
      </w:pPr>
      <w:r w:rsidRPr="0091063B">
        <w:rPr>
          <w:rStyle w:val="FootnoteReference"/>
          <w:rFonts w:cs="Arial"/>
          <w:szCs w:val="24"/>
        </w:rPr>
        <w:footnoteRef/>
      </w:r>
      <w:r w:rsidRPr="0091063B">
        <w:rPr>
          <w:rFonts w:cs="Arial"/>
          <w:szCs w:val="24"/>
        </w:rPr>
        <w:t xml:space="preserve"> NHS Confederation (February 2021), </w:t>
      </w:r>
      <w:hyperlink r:id="rId46" w:history="1">
        <w:r w:rsidRPr="0091063B">
          <w:rPr>
            <w:rStyle w:val="Hyperlink"/>
            <w:rFonts w:cs="Arial"/>
            <w:color w:val="0B4E60" w:themeColor="text2"/>
            <w:szCs w:val="24"/>
          </w:rPr>
          <w:t>ONS findings show toll of pandemic on mental wellbeing</w:t>
        </w:r>
      </w:hyperlink>
      <w:r w:rsidRPr="0091063B">
        <w:rPr>
          <w:rFonts w:cs="Arial"/>
          <w:szCs w:val="24"/>
        </w:rPr>
        <w:t xml:space="preserve"> [accessed 6 May 2021].</w:t>
      </w:r>
    </w:p>
  </w:footnote>
  <w:footnote w:id="42">
    <w:p w14:paraId="30DA9BC3" w14:textId="7BAE00EA" w:rsidR="00193935" w:rsidRPr="005A6C22" w:rsidRDefault="00193935" w:rsidP="00E25788">
      <w:pPr>
        <w:pStyle w:val="FootnoteText"/>
        <w:rPr>
          <w:rFonts w:cs="Arial"/>
          <w:szCs w:val="24"/>
        </w:rPr>
      </w:pPr>
      <w:r w:rsidRPr="005A6C22">
        <w:rPr>
          <w:rStyle w:val="FootnoteReference"/>
          <w:rFonts w:cs="Arial"/>
          <w:szCs w:val="24"/>
        </w:rPr>
        <w:footnoteRef/>
      </w:r>
      <w:r w:rsidRPr="005A6C22">
        <w:rPr>
          <w:rFonts w:cs="Arial"/>
          <w:szCs w:val="24"/>
        </w:rPr>
        <w:t xml:space="preserve"> </w:t>
      </w:r>
      <w:r>
        <w:rPr>
          <w:rFonts w:cs="Arial"/>
          <w:szCs w:val="24"/>
        </w:rPr>
        <w:t>Equality and Human Rights Commission (May 2020),</w:t>
      </w:r>
      <w:r w:rsidRPr="005A6C22">
        <w:rPr>
          <w:rFonts w:cs="Arial"/>
          <w:szCs w:val="24"/>
        </w:rPr>
        <w:t xml:space="preserve"> </w:t>
      </w:r>
      <w:hyperlink r:id="rId47" w:history="1">
        <w:r w:rsidRPr="00A824C3">
          <w:rPr>
            <w:rStyle w:val="Hyperlink"/>
            <w:rFonts w:cs="Arial"/>
            <w:color w:val="0B4E60" w:themeColor="text2"/>
            <w:szCs w:val="24"/>
          </w:rPr>
          <w:t>Evidence to the Women and Equalities Committee (WEC) inquiry on coronavirus (COVID-19) and the impact on people with protected characteristics</w:t>
        </w:r>
      </w:hyperlink>
      <w:r w:rsidRPr="00A824C3">
        <w:rPr>
          <w:rFonts w:cs="Arial"/>
          <w:szCs w:val="24"/>
        </w:rPr>
        <w:t xml:space="preserve">, </w:t>
      </w:r>
      <w:r>
        <w:rPr>
          <w:rFonts w:cs="Arial"/>
          <w:szCs w:val="24"/>
        </w:rPr>
        <w:t>paragraph 59, [accessed 6 May 2021].</w:t>
      </w:r>
      <w:r w:rsidRPr="005A6C22">
        <w:rPr>
          <w:rFonts w:cs="Arial"/>
          <w:szCs w:val="24"/>
        </w:rPr>
        <w:t xml:space="preserve"> </w:t>
      </w:r>
    </w:p>
  </w:footnote>
  <w:footnote w:id="43">
    <w:p w14:paraId="4D964402" w14:textId="65C6D9AD" w:rsidR="00193935" w:rsidRPr="005A6C22" w:rsidRDefault="00193935" w:rsidP="00E25788">
      <w:pPr>
        <w:pStyle w:val="FootnoteText"/>
        <w:rPr>
          <w:rFonts w:cs="Arial"/>
          <w:szCs w:val="24"/>
        </w:rPr>
      </w:pPr>
      <w:r w:rsidRPr="005A6C22">
        <w:rPr>
          <w:rStyle w:val="FootnoteReference"/>
          <w:rFonts w:cs="Arial"/>
          <w:szCs w:val="24"/>
        </w:rPr>
        <w:footnoteRef/>
      </w:r>
      <w:r w:rsidRPr="005A6C22">
        <w:rPr>
          <w:rFonts w:cs="Arial"/>
          <w:szCs w:val="24"/>
        </w:rPr>
        <w:t xml:space="preserve"> </w:t>
      </w:r>
      <w:r w:rsidRPr="0091063B">
        <w:rPr>
          <w:rFonts w:cs="Arial"/>
          <w:szCs w:val="24"/>
        </w:rPr>
        <w:t>C</w:t>
      </w:r>
      <w:r>
        <w:rPr>
          <w:rFonts w:cs="Arial"/>
          <w:szCs w:val="24"/>
        </w:rPr>
        <w:t xml:space="preserve">are </w:t>
      </w:r>
      <w:r w:rsidRPr="0091063B">
        <w:rPr>
          <w:rFonts w:cs="Arial"/>
          <w:szCs w:val="24"/>
        </w:rPr>
        <w:t>Q</w:t>
      </w:r>
      <w:r>
        <w:rPr>
          <w:rFonts w:cs="Arial"/>
          <w:szCs w:val="24"/>
        </w:rPr>
        <w:t xml:space="preserve">uality </w:t>
      </w:r>
      <w:r w:rsidRPr="0091063B">
        <w:rPr>
          <w:rFonts w:cs="Arial"/>
          <w:szCs w:val="24"/>
        </w:rPr>
        <w:t>C</w:t>
      </w:r>
      <w:r>
        <w:rPr>
          <w:rFonts w:cs="Arial"/>
          <w:szCs w:val="24"/>
        </w:rPr>
        <w:t>ommission</w:t>
      </w:r>
      <w:r w:rsidR="0006713C">
        <w:rPr>
          <w:rFonts w:cs="Arial"/>
          <w:szCs w:val="24"/>
        </w:rPr>
        <w:t xml:space="preserve"> (November 2020), </w:t>
      </w:r>
      <w:hyperlink r:id="rId48" w:history="1">
        <w:r w:rsidRPr="0091063B">
          <w:rPr>
            <w:rStyle w:val="Hyperlink"/>
            <w:rFonts w:cs="Arial"/>
            <w:color w:val="0B4E60" w:themeColor="text2"/>
            <w:szCs w:val="24"/>
          </w:rPr>
          <w:t>Monitoring the Mental Health Act in 2019/20: The Mental Health Act in the coronavirus (COVID-19) pandemic</w:t>
        </w:r>
      </w:hyperlink>
      <w:r w:rsidRPr="0091063B">
        <w:rPr>
          <w:rFonts w:cs="Arial"/>
          <w:szCs w:val="24"/>
        </w:rPr>
        <w:t>, page 30</w:t>
      </w:r>
      <w:bookmarkStart w:id="36" w:name="_Hlk66708591"/>
      <w:r w:rsidRPr="0091063B">
        <w:rPr>
          <w:rFonts w:cs="Arial"/>
          <w:szCs w:val="24"/>
        </w:rPr>
        <w:t>, [accessed 6 May 2021].</w:t>
      </w:r>
    </w:p>
    <w:bookmarkEnd w:id="36"/>
  </w:footnote>
  <w:footnote w:id="44">
    <w:p w14:paraId="34BBD0D0" w14:textId="3CE66770" w:rsidR="00193935" w:rsidRDefault="00193935">
      <w:pPr>
        <w:pStyle w:val="FootnoteText"/>
      </w:pPr>
      <w:r>
        <w:rPr>
          <w:rStyle w:val="FootnoteReference"/>
        </w:rPr>
        <w:footnoteRef/>
      </w:r>
      <w:r w:rsidRPr="00A824C3">
        <w:t xml:space="preserve"> NHS England and NHS Improvement (15 March 2021), </w:t>
      </w:r>
      <w:hyperlink r:id="rId49" w:history="1">
        <w:r w:rsidRPr="00A824C3">
          <w:rPr>
            <w:rStyle w:val="Hyperlink"/>
            <w:color w:val="0B4E60" w:themeColor="text2"/>
          </w:rPr>
          <w:t>Mental health, learning disabilites and autism: guidance</w:t>
        </w:r>
      </w:hyperlink>
      <w:r>
        <w:t xml:space="preserve"> [accessed 30 April 2021].</w:t>
      </w:r>
    </w:p>
  </w:footnote>
  <w:footnote w:id="45">
    <w:p w14:paraId="7038DD53" w14:textId="2AA55686" w:rsidR="00193935" w:rsidRPr="005A6C22" w:rsidRDefault="00193935" w:rsidP="00E25788">
      <w:pPr>
        <w:pStyle w:val="FootnoteText"/>
        <w:rPr>
          <w:rFonts w:cs="Arial"/>
          <w:szCs w:val="24"/>
        </w:rPr>
      </w:pPr>
      <w:r w:rsidRPr="005A6C22">
        <w:rPr>
          <w:rStyle w:val="FootnoteReference"/>
          <w:rFonts w:cs="Arial"/>
          <w:szCs w:val="24"/>
        </w:rPr>
        <w:footnoteRef/>
      </w:r>
      <w:r w:rsidRPr="005A6C22">
        <w:rPr>
          <w:rFonts w:cs="Arial"/>
          <w:szCs w:val="24"/>
        </w:rPr>
        <w:t xml:space="preserve"> NHS England</w:t>
      </w:r>
      <w:r>
        <w:rPr>
          <w:rFonts w:cs="Arial"/>
          <w:szCs w:val="24"/>
        </w:rPr>
        <w:t xml:space="preserve"> and NHS Improvement</w:t>
      </w:r>
      <w:r w:rsidRPr="005A6C22">
        <w:rPr>
          <w:rFonts w:cs="Arial"/>
          <w:szCs w:val="24"/>
        </w:rPr>
        <w:t xml:space="preserve"> (</w:t>
      </w:r>
      <w:r>
        <w:rPr>
          <w:rFonts w:cs="Arial"/>
          <w:szCs w:val="24"/>
        </w:rPr>
        <w:t>25 January 202</w:t>
      </w:r>
      <w:r w:rsidRPr="00A824C3">
        <w:rPr>
          <w:rFonts w:cs="Arial"/>
          <w:szCs w:val="24"/>
        </w:rPr>
        <w:t xml:space="preserve">1), </w:t>
      </w:r>
      <w:hyperlink r:id="rId50" w:history="1">
        <w:r w:rsidRPr="0006713C">
          <w:rPr>
            <w:rStyle w:val="Hyperlink"/>
            <w:rFonts w:cs="Arial"/>
            <w:szCs w:val="24"/>
          </w:rPr>
          <w:t>Legal guidance for services supporting people of all ages during the coronavirus pandemic: mental health, learning disability and autism, specialised commissioning (Version 4)</w:t>
        </w:r>
      </w:hyperlink>
      <w:r>
        <w:rPr>
          <w:rFonts w:cs="Arial"/>
          <w:szCs w:val="24"/>
        </w:rPr>
        <w:t xml:space="preserve"> </w:t>
      </w:r>
      <w:r>
        <w:t>[accessed 30 April 2021].</w:t>
      </w:r>
    </w:p>
  </w:footnote>
  <w:footnote w:id="46">
    <w:p w14:paraId="7D3DEDF9" w14:textId="217DBDE3" w:rsidR="00193935" w:rsidRPr="0072517E" w:rsidRDefault="00193935" w:rsidP="00E25788">
      <w:pPr>
        <w:pStyle w:val="FootnoteText"/>
        <w:rPr>
          <w:rFonts w:cs="Arial"/>
          <w:szCs w:val="24"/>
        </w:rPr>
      </w:pPr>
      <w:r w:rsidRPr="0072517E">
        <w:rPr>
          <w:rStyle w:val="FootnoteReference"/>
          <w:rFonts w:cs="Arial"/>
          <w:szCs w:val="24"/>
        </w:rPr>
        <w:footnoteRef/>
      </w:r>
      <w:r w:rsidRPr="0072517E">
        <w:rPr>
          <w:rFonts w:cs="Arial"/>
          <w:szCs w:val="24"/>
        </w:rPr>
        <w:t xml:space="preserve"> Department of Health and Social Care (2018), </w:t>
      </w:r>
      <w:hyperlink r:id="rId51" w:history="1">
        <w:r w:rsidRPr="0072517E">
          <w:rPr>
            <w:rStyle w:val="Hyperlink"/>
            <w:rFonts w:cs="Arial"/>
            <w:color w:val="0B4E60" w:themeColor="text2"/>
            <w:szCs w:val="24"/>
          </w:rPr>
          <w:t>Modernising the Mental Health Act: Increasing choice, reducing compulsion. Final report of the Independent Review</w:t>
        </w:r>
      </w:hyperlink>
      <w:r w:rsidRPr="0072517E">
        <w:rPr>
          <w:rStyle w:val="Hyperlink"/>
          <w:rFonts w:cs="Arial"/>
          <w:color w:val="0B4E60" w:themeColor="text2"/>
          <w:szCs w:val="24"/>
        </w:rPr>
        <w:t xml:space="preserve"> of the Mental Health Act 1983</w:t>
      </w:r>
      <w:r w:rsidRPr="0072517E">
        <w:rPr>
          <w:rFonts w:cs="Arial"/>
          <w:szCs w:val="24"/>
        </w:rPr>
        <w:t xml:space="preserve"> [</w:t>
      </w:r>
      <w:r w:rsidRPr="0072517E">
        <w:t>accessed 30 April 2021].</w:t>
      </w:r>
    </w:p>
  </w:footnote>
  <w:footnote w:id="47">
    <w:p w14:paraId="4BDF5FC5" w14:textId="13429EB9" w:rsidR="00193935" w:rsidRPr="0072517E" w:rsidRDefault="00193935" w:rsidP="00E25788">
      <w:pPr>
        <w:pStyle w:val="FootnoteText"/>
        <w:rPr>
          <w:rFonts w:cs="Arial"/>
          <w:szCs w:val="24"/>
        </w:rPr>
      </w:pPr>
      <w:r w:rsidRPr="0072517E">
        <w:rPr>
          <w:rStyle w:val="FootnoteReference"/>
          <w:rFonts w:cs="Arial"/>
          <w:szCs w:val="24"/>
        </w:rPr>
        <w:footnoteRef/>
      </w:r>
      <w:r w:rsidRPr="0072517E">
        <w:rPr>
          <w:rFonts w:cs="Arial"/>
          <w:szCs w:val="24"/>
        </w:rPr>
        <w:t xml:space="preserve"> Department of Health and Social Care (January 2021), </w:t>
      </w:r>
      <w:hyperlink r:id="rId52" w:history="1">
        <w:r w:rsidRPr="0072517E">
          <w:rPr>
            <w:rStyle w:val="Hyperlink"/>
            <w:rFonts w:cs="Arial"/>
            <w:color w:val="0B4E60" w:themeColor="text2"/>
            <w:szCs w:val="24"/>
          </w:rPr>
          <w:t>Reforming the Mental Health Act</w:t>
        </w:r>
      </w:hyperlink>
      <w:r w:rsidRPr="0072517E">
        <w:rPr>
          <w:rFonts w:cs="Arial"/>
          <w:szCs w:val="24"/>
        </w:rPr>
        <w:t xml:space="preserve"> </w:t>
      </w:r>
      <w:r w:rsidRPr="0072517E">
        <w:t>[accessed 30 April 2021].</w:t>
      </w:r>
    </w:p>
  </w:footnote>
  <w:footnote w:id="48">
    <w:p w14:paraId="6B536525" w14:textId="7E1BDB92" w:rsidR="00193935" w:rsidRDefault="00193935">
      <w:pPr>
        <w:pStyle w:val="FootnoteText"/>
      </w:pPr>
      <w:r w:rsidRPr="0072517E">
        <w:rPr>
          <w:rStyle w:val="FootnoteReference"/>
        </w:rPr>
        <w:footnoteRef/>
      </w:r>
      <w:r w:rsidRPr="0072517E">
        <w:t xml:space="preserve"> Equality and Human Rights Commission (April 2021), </w:t>
      </w:r>
      <w:hyperlink r:id="rId53" w:history="1">
        <w:r w:rsidRPr="0072517E">
          <w:rPr>
            <w:rStyle w:val="Hyperlink"/>
            <w:color w:val="0B4E60" w:themeColor="text2"/>
          </w:rPr>
          <w:t>Response to the white paper on reforming the Mental Health Act</w:t>
        </w:r>
      </w:hyperlink>
      <w:r w:rsidRPr="0072517E">
        <w:t>, see recommenda</w:t>
      </w:r>
      <w:r w:rsidR="0006713C">
        <w:t>tions 3 and 4, and paragraph 10</w:t>
      </w:r>
      <w:r w:rsidRPr="0072517E">
        <w:t xml:space="preserve"> </w:t>
      </w:r>
      <w:r w:rsidRPr="0072517E">
        <w:rPr>
          <w:rFonts w:cs="Arial"/>
          <w:szCs w:val="24"/>
        </w:rPr>
        <w:t>[</w:t>
      </w:r>
      <w:r w:rsidRPr="0072517E">
        <w:t xml:space="preserve">accessed 30 April 2021].  </w:t>
      </w:r>
    </w:p>
  </w:footnote>
  <w:footnote w:id="49">
    <w:p w14:paraId="5369DB36" w14:textId="05194D65" w:rsidR="00193935" w:rsidRPr="0072517E" w:rsidRDefault="00193935" w:rsidP="00E25788">
      <w:pPr>
        <w:pStyle w:val="FootnoteText"/>
        <w:spacing w:line="259" w:lineRule="auto"/>
        <w:rPr>
          <w:rFonts w:cs="Arial"/>
          <w:szCs w:val="24"/>
        </w:rPr>
      </w:pPr>
      <w:r w:rsidRPr="0072517E">
        <w:rPr>
          <w:rStyle w:val="FootnoteReference"/>
          <w:rFonts w:cs="Arial"/>
          <w:szCs w:val="24"/>
        </w:rPr>
        <w:footnoteRef/>
      </w:r>
      <w:r w:rsidRPr="0072517E">
        <w:rPr>
          <w:rFonts w:cs="Arial"/>
          <w:szCs w:val="24"/>
        </w:rPr>
        <w:t xml:space="preserve"> Buchanan, M. (2021), “</w:t>
      </w:r>
      <w:hyperlink r:id="rId54" w:history="1">
        <w:r w:rsidRPr="0072517E">
          <w:rPr>
            <w:rStyle w:val="Hyperlink"/>
            <w:rFonts w:cs="Arial"/>
            <w:color w:val="0B4E60" w:themeColor="text2"/>
            <w:szCs w:val="24"/>
          </w:rPr>
          <w:t>Discriminatory” mental health system overhauled</w:t>
        </w:r>
      </w:hyperlink>
      <w:r w:rsidRPr="0072517E">
        <w:rPr>
          <w:rFonts w:cs="Arial"/>
          <w:szCs w:val="24"/>
        </w:rPr>
        <w:t>, BBC News, 13 January, [</w:t>
      </w:r>
      <w:r w:rsidRPr="0072517E">
        <w:t>accessed 30 April 2021].</w:t>
      </w:r>
    </w:p>
  </w:footnote>
  <w:footnote w:id="50">
    <w:p w14:paraId="2A2F75FF" w14:textId="6C87DCDD" w:rsidR="00193935" w:rsidRPr="0072517E" w:rsidRDefault="00193935" w:rsidP="00E25788">
      <w:pPr>
        <w:pStyle w:val="FootnoteText"/>
        <w:rPr>
          <w:szCs w:val="24"/>
        </w:rPr>
      </w:pPr>
      <w:r w:rsidRPr="0072517E">
        <w:rPr>
          <w:rStyle w:val="FootnoteReference"/>
          <w:rFonts w:ascii="Arial" w:hAnsi="Arial" w:cs="Arial"/>
          <w:szCs w:val="24"/>
        </w:rPr>
        <w:footnoteRef/>
      </w:r>
      <w:r w:rsidRPr="0072517E">
        <w:rPr>
          <w:szCs w:val="24"/>
        </w:rPr>
        <w:t xml:space="preserve"> </w:t>
      </w:r>
      <w:bookmarkStart w:id="37" w:name="_Hlk66710450"/>
      <w:r w:rsidRPr="0072517E">
        <w:rPr>
          <w:szCs w:val="24"/>
        </w:rPr>
        <w:t xml:space="preserve">Care Quality Commission (2020), </w:t>
      </w:r>
      <w:hyperlink r:id="rId55" w:history="1">
        <w:r w:rsidRPr="0072517E">
          <w:rPr>
            <w:rStyle w:val="Hyperlink"/>
            <w:rFonts w:ascii="Arial" w:hAnsi="Arial" w:cs="Arial"/>
            <w:color w:val="0B4E60" w:themeColor="text2"/>
            <w:szCs w:val="24"/>
          </w:rPr>
          <w:t>Out of sight – who cares?: Restraint, segregation and seclusion review</w:t>
        </w:r>
      </w:hyperlink>
      <w:r w:rsidRPr="0072517E">
        <w:rPr>
          <w:rStyle w:val="Hyperlink"/>
          <w:rFonts w:ascii="Arial" w:hAnsi="Arial" w:cs="Arial"/>
          <w:color w:val="0B4E60" w:themeColor="text2"/>
          <w:szCs w:val="24"/>
        </w:rPr>
        <w:t xml:space="preserve"> </w:t>
      </w:r>
      <w:r w:rsidRPr="0072517E">
        <w:rPr>
          <w:rFonts w:cs="Arial"/>
          <w:szCs w:val="24"/>
        </w:rPr>
        <w:t>[</w:t>
      </w:r>
      <w:r w:rsidRPr="0072517E">
        <w:t>accessed 30 April 2021].</w:t>
      </w:r>
    </w:p>
    <w:bookmarkEnd w:id="37"/>
  </w:footnote>
  <w:footnote w:id="51">
    <w:p w14:paraId="79CE6F3B" w14:textId="7931AED0" w:rsidR="00193935" w:rsidRPr="005A6C22" w:rsidRDefault="00193935" w:rsidP="00E25788">
      <w:pPr>
        <w:pStyle w:val="FootnoteText"/>
        <w:spacing w:line="259" w:lineRule="auto"/>
        <w:rPr>
          <w:rFonts w:cs="Arial"/>
          <w:szCs w:val="24"/>
        </w:rPr>
      </w:pPr>
      <w:r w:rsidRPr="005A6C22">
        <w:rPr>
          <w:rStyle w:val="FootnoteReference"/>
          <w:rFonts w:cs="Arial"/>
          <w:szCs w:val="24"/>
        </w:rPr>
        <w:footnoteRef/>
      </w:r>
      <w:r w:rsidRPr="005A6C22">
        <w:rPr>
          <w:rFonts w:cs="Arial"/>
          <w:szCs w:val="24"/>
        </w:rPr>
        <w:t xml:space="preserve"> </w:t>
      </w:r>
      <w:r w:rsidRPr="0072517E">
        <w:rPr>
          <w:rFonts w:cs="Arial"/>
          <w:szCs w:val="24"/>
        </w:rPr>
        <w:t>E</w:t>
      </w:r>
      <w:r>
        <w:rPr>
          <w:rFonts w:cs="Arial"/>
          <w:szCs w:val="24"/>
        </w:rPr>
        <w:t xml:space="preserve">quality and </w:t>
      </w:r>
      <w:r w:rsidRPr="0072517E">
        <w:rPr>
          <w:rFonts w:cs="Arial"/>
          <w:szCs w:val="24"/>
        </w:rPr>
        <w:t>H</w:t>
      </w:r>
      <w:r>
        <w:rPr>
          <w:rFonts w:cs="Arial"/>
          <w:szCs w:val="24"/>
        </w:rPr>
        <w:t xml:space="preserve">uman </w:t>
      </w:r>
      <w:r w:rsidRPr="0072517E">
        <w:rPr>
          <w:rFonts w:cs="Arial"/>
          <w:szCs w:val="24"/>
        </w:rPr>
        <w:t>R</w:t>
      </w:r>
      <w:r>
        <w:rPr>
          <w:rFonts w:cs="Arial"/>
          <w:szCs w:val="24"/>
        </w:rPr>
        <w:t xml:space="preserve">ights </w:t>
      </w:r>
      <w:r w:rsidRPr="0072517E">
        <w:rPr>
          <w:rFonts w:cs="Arial"/>
          <w:szCs w:val="24"/>
        </w:rPr>
        <w:t>C</w:t>
      </w:r>
      <w:r>
        <w:rPr>
          <w:rFonts w:cs="Arial"/>
          <w:szCs w:val="24"/>
        </w:rPr>
        <w:t>ommission</w:t>
      </w:r>
      <w:r w:rsidRPr="0072517E">
        <w:rPr>
          <w:rFonts w:cs="Arial"/>
          <w:szCs w:val="24"/>
        </w:rPr>
        <w:t xml:space="preserve"> (2019), </w:t>
      </w:r>
      <w:hyperlink r:id="rId56" w:history="1">
        <w:r w:rsidRPr="0072517E">
          <w:rPr>
            <w:rStyle w:val="Hyperlink"/>
            <w:rFonts w:cs="Arial"/>
            <w:color w:val="0B4E60" w:themeColor="text2"/>
            <w:szCs w:val="24"/>
          </w:rPr>
          <w:t>Human rights framework for restraint</w:t>
        </w:r>
      </w:hyperlink>
      <w:r>
        <w:rPr>
          <w:rStyle w:val="Hyperlink"/>
          <w:rFonts w:cs="Arial"/>
          <w:color w:val="0B4E60" w:themeColor="text2"/>
          <w:szCs w:val="24"/>
        </w:rPr>
        <w:t xml:space="preserve"> </w:t>
      </w:r>
      <w:r w:rsidRPr="0072517E">
        <w:rPr>
          <w:rFonts w:cs="Arial"/>
          <w:szCs w:val="24"/>
        </w:rPr>
        <w:t>[</w:t>
      </w:r>
      <w:r w:rsidRPr="0072517E">
        <w:t>accessed 30 April 2021].</w:t>
      </w:r>
    </w:p>
  </w:footnote>
  <w:footnote w:id="52">
    <w:p w14:paraId="7F8E2217" w14:textId="226EFE44" w:rsidR="00193935" w:rsidRPr="00E25788" w:rsidRDefault="00193935" w:rsidP="00E25788">
      <w:pPr>
        <w:pStyle w:val="FootnoteText"/>
        <w:rPr>
          <w:rFonts w:cs="Arial"/>
          <w:sz w:val="20"/>
        </w:rPr>
      </w:pPr>
      <w:r w:rsidRPr="0072517E">
        <w:rPr>
          <w:rStyle w:val="FootnoteReference"/>
          <w:rFonts w:cs="Arial"/>
          <w:szCs w:val="24"/>
        </w:rPr>
        <w:footnoteRef/>
      </w:r>
      <w:r>
        <w:rPr>
          <w:rFonts w:cs="Arial"/>
          <w:szCs w:val="24"/>
        </w:rPr>
        <w:t xml:space="preserve"> NHS Digital (January 2021), </w:t>
      </w:r>
      <w:hyperlink r:id="rId57" w:history="1">
        <w:r w:rsidRPr="0072517E">
          <w:rPr>
            <w:rStyle w:val="Hyperlink"/>
            <w:rFonts w:cs="Arial"/>
            <w:color w:val="0B4E60" w:themeColor="text2"/>
            <w:szCs w:val="24"/>
          </w:rPr>
          <w:t>Mental Health Bulletin 2019-20 Annual report</w:t>
        </w:r>
      </w:hyperlink>
      <w:r w:rsidRPr="0072517E">
        <w:rPr>
          <w:rFonts w:cs="Arial"/>
          <w:szCs w:val="24"/>
        </w:rPr>
        <w:t>, reference table 7.3, [</w:t>
      </w:r>
      <w:r w:rsidRPr="0072517E">
        <w:t>accessed 30 April 2021].</w:t>
      </w:r>
    </w:p>
  </w:footnote>
  <w:footnote w:id="53">
    <w:p w14:paraId="560A2543" w14:textId="60E52078" w:rsidR="00193935" w:rsidRPr="0072517E" w:rsidRDefault="00193935" w:rsidP="00E25788">
      <w:pPr>
        <w:pStyle w:val="FootnoteText"/>
        <w:rPr>
          <w:rFonts w:cs="Arial"/>
          <w:szCs w:val="24"/>
        </w:rPr>
      </w:pPr>
      <w:r w:rsidRPr="0072517E">
        <w:rPr>
          <w:rStyle w:val="FootnoteReference"/>
          <w:rFonts w:cs="Arial"/>
          <w:szCs w:val="24"/>
        </w:rPr>
        <w:footnoteRef/>
      </w:r>
      <w:r w:rsidRPr="0072517E">
        <w:rPr>
          <w:rFonts w:cs="Arial"/>
          <w:szCs w:val="24"/>
        </w:rPr>
        <w:t xml:space="preserve"> </w:t>
      </w:r>
      <w:hyperlink r:id="rId58" w:history="1">
        <w:r w:rsidRPr="0072517E">
          <w:rPr>
            <w:rStyle w:val="Hyperlink"/>
            <w:rFonts w:cs="Arial"/>
            <w:color w:val="0B4E60" w:themeColor="text2"/>
            <w:szCs w:val="24"/>
          </w:rPr>
          <w:t>Mental Health Units (Use of Force) Act 2018</w:t>
        </w:r>
      </w:hyperlink>
      <w:r w:rsidRPr="0072517E">
        <w:rPr>
          <w:rFonts w:cs="Arial"/>
          <w:szCs w:val="24"/>
        </w:rPr>
        <w:t xml:space="preserve"> [accessed 6 May 2021].</w:t>
      </w:r>
    </w:p>
  </w:footnote>
  <w:footnote w:id="54">
    <w:p w14:paraId="2787730D" w14:textId="5938CBA4" w:rsidR="00193935" w:rsidRPr="0072517E" w:rsidRDefault="00193935" w:rsidP="00E25788">
      <w:pPr>
        <w:pStyle w:val="FootnoteText"/>
        <w:rPr>
          <w:rFonts w:cs="Arial"/>
          <w:szCs w:val="24"/>
        </w:rPr>
      </w:pPr>
      <w:r w:rsidRPr="0072517E">
        <w:rPr>
          <w:rStyle w:val="FootnoteReference"/>
          <w:rFonts w:ascii="Arial" w:hAnsi="Arial" w:cs="Arial"/>
          <w:szCs w:val="24"/>
        </w:rPr>
        <w:footnoteRef/>
      </w:r>
      <w:r w:rsidRPr="0072517E">
        <w:rPr>
          <w:szCs w:val="24"/>
        </w:rPr>
        <w:t xml:space="preserve"> </w:t>
      </w:r>
      <w:r w:rsidRPr="0072517E">
        <w:rPr>
          <w:szCs w:val="24"/>
          <w:u w:color="009C98" w:themeColor="accent1"/>
        </w:rPr>
        <w:t xml:space="preserve">Stewart, H. (2020), </w:t>
      </w:r>
      <w:hyperlink r:id="rId59" w:history="1">
        <w:r w:rsidRPr="0072517E">
          <w:rPr>
            <w:rStyle w:val="Hyperlink"/>
            <w:color w:val="0B4E60" w:themeColor="text2"/>
            <w:szCs w:val="24"/>
          </w:rPr>
          <w:t>Parents of man who died after police restraint challenge delay over Seni's law</w:t>
        </w:r>
      </w:hyperlink>
      <w:r w:rsidR="0006713C">
        <w:rPr>
          <w:bCs/>
          <w:szCs w:val="24"/>
          <w:u w:color="009C98" w:themeColor="accent1"/>
        </w:rPr>
        <w:t xml:space="preserve">, </w:t>
      </w:r>
      <w:r w:rsidRPr="0072517E">
        <w:rPr>
          <w:bCs/>
          <w:szCs w:val="24"/>
          <w:u w:color="009C98" w:themeColor="accent1"/>
        </w:rPr>
        <w:t>Guardian, 20 July [accessed: 20 January 2021].</w:t>
      </w:r>
      <w:r w:rsidRPr="0072517E">
        <w:rPr>
          <w:szCs w:val="24"/>
        </w:rPr>
        <w:t xml:space="preserve"> </w:t>
      </w:r>
    </w:p>
  </w:footnote>
  <w:footnote w:id="55">
    <w:p w14:paraId="2D792563" w14:textId="3FD99FAB" w:rsidR="00193935" w:rsidRPr="0072517E" w:rsidRDefault="00193935" w:rsidP="00E25788">
      <w:pPr>
        <w:pStyle w:val="FootnoteText"/>
        <w:rPr>
          <w:rFonts w:cs="Arial"/>
          <w:szCs w:val="24"/>
        </w:rPr>
      </w:pPr>
      <w:r w:rsidRPr="0072517E">
        <w:rPr>
          <w:rStyle w:val="FootnoteReference"/>
          <w:rFonts w:cs="Arial"/>
          <w:szCs w:val="24"/>
        </w:rPr>
        <w:footnoteRef/>
      </w:r>
      <w:r w:rsidRPr="0072517E">
        <w:rPr>
          <w:rFonts w:cs="Arial"/>
          <w:szCs w:val="24"/>
        </w:rPr>
        <w:t xml:space="preserve"> </w:t>
      </w:r>
      <w:hyperlink r:id="rId60" w:history="1">
        <w:r w:rsidRPr="0072517E">
          <w:rPr>
            <w:rStyle w:val="Hyperlink"/>
            <w:rFonts w:cs="Arial"/>
            <w:color w:val="0B4E60" w:themeColor="text2"/>
            <w:szCs w:val="24"/>
          </w:rPr>
          <w:t>Mental Capacity (Amendment) Act 2019</w:t>
        </w:r>
      </w:hyperlink>
      <w:r w:rsidRPr="0072517E">
        <w:rPr>
          <w:rStyle w:val="Hyperlink"/>
          <w:rFonts w:cs="Arial"/>
          <w:color w:val="0B4E60" w:themeColor="text2"/>
          <w:szCs w:val="24"/>
        </w:rPr>
        <w:t xml:space="preserve"> </w:t>
      </w:r>
      <w:r w:rsidRPr="0072517E">
        <w:rPr>
          <w:rFonts w:cs="Arial"/>
          <w:szCs w:val="24"/>
        </w:rPr>
        <w:t>[accessed 6 May 2021].</w:t>
      </w:r>
    </w:p>
  </w:footnote>
  <w:footnote w:id="56">
    <w:p w14:paraId="1B9C1125" w14:textId="36C8752F" w:rsidR="00193935" w:rsidRPr="005A6C22" w:rsidRDefault="00193935" w:rsidP="00E25788">
      <w:pPr>
        <w:pStyle w:val="FootnoteText"/>
        <w:rPr>
          <w:szCs w:val="24"/>
        </w:rPr>
      </w:pPr>
      <w:r w:rsidRPr="0072517E">
        <w:rPr>
          <w:rStyle w:val="FootnoteReference"/>
          <w:szCs w:val="24"/>
        </w:rPr>
        <w:footnoteRef/>
      </w:r>
      <w:r w:rsidRPr="0072517E">
        <w:rPr>
          <w:szCs w:val="24"/>
        </w:rPr>
        <w:t xml:space="preserve"> Law Commission (2017), </w:t>
      </w:r>
      <w:hyperlink r:id="rId61" w:history="1">
        <w:r w:rsidRPr="0072517E">
          <w:rPr>
            <w:rStyle w:val="Hyperlink"/>
            <w:color w:val="0B4E60" w:themeColor="text2"/>
            <w:szCs w:val="24"/>
          </w:rPr>
          <w:t>Mental capacity and deprivation of liberty</w:t>
        </w:r>
      </w:hyperlink>
      <w:r>
        <w:rPr>
          <w:szCs w:val="24"/>
        </w:rPr>
        <w:t xml:space="preserve"> </w:t>
      </w:r>
      <w:r>
        <w:rPr>
          <w:rFonts w:cs="Arial"/>
          <w:szCs w:val="24"/>
        </w:rPr>
        <w:t>[accessed 6 May 2021].</w:t>
      </w:r>
      <w:r w:rsidRPr="0072517E">
        <w:rPr>
          <w:szCs w:val="24"/>
        </w:rPr>
        <w:t xml:space="preserve"> </w:t>
      </w:r>
      <w:bookmarkStart w:id="40" w:name="_Hlk66714272"/>
    </w:p>
    <w:bookmarkEnd w:id="40"/>
  </w:footnote>
  <w:footnote w:id="57">
    <w:p w14:paraId="4D4A8B89" w14:textId="7FFB0DC0" w:rsidR="00193935" w:rsidRPr="005A6C22" w:rsidRDefault="00193935" w:rsidP="00E25788">
      <w:pPr>
        <w:pStyle w:val="FootnoteText"/>
        <w:rPr>
          <w:rFonts w:cs="Arial"/>
          <w:szCs w:val="24"/>
        </w:rPr>
      </w:pPr>
      <w:r w:rsidRPr="00E27CF0">
        <w:rPr>
          <w:rStyle w:val="FootnoteReference"/>
          <w:rFonts w:cs="Arial"/>
          <w:szCs w:val="24"/>
        </w:rPr>
        <w:footnoteRef/>
      </w:r>
      <w:r w:rsidRPr="00E27CF0">
        <w:rPr>
          <w:rFonts w:cs="Arial"/>
          <w:szCs w:val="24"/>
        </w:rPr>
        <w:t xml:space="preserve"> UK Parliament (16 July 2020), Written statement: Helen Whately MP (Minister for Care), </w:t>
      </w:r>
      <w:hyperlink r:id="rId62" w:history="1">
        <w:r w:rsidRPr="00E27CF0">
          <w:rPr>
            <w:rStyle w:val="Hyperlink"/>
            <w:rFonts w:cs="Arial"/>
            <w:color w:val="0B4E60" w:themeColor="text2"/>
            <w:szCs w:val="24"/>
          </w:rPr>
          <w:t>Implementation of Liberty Protection Safeguards</w:t>
        </w:r>
      </w:hyperlink>
      <w:r w:rsidRPr="00E27CF0">
        <w:rPr>
          <w:rStyle w:val="Hyperlink"/>
          <w:rFonts w:cs="Arial"/>
          <w:color w:val="0B4E60" w:themeColor="text2"/>
          <w:szCs w:val="24"/>
        </w:rPr>
        <w:t xml:space="preserve"> </w:t>
      </w:r>
      <w:r w:rsidRPr="00E27CF0">
        <w:rPr>
          <w:rFonts w:cs="Arial"/>
          <w:szCs w:val="24"/>
        </w:rPr>
        <w:t>[</w:t>
      </w:r>
      <w:r>
        <w:rPr>
          <w:rFonts w:cs="Arial"/>
          <w:szCs w:val="24"/>
        </w:rPr>
        <w:t>accessed 6 May 2021].</w:t>
      </w:r>
    </w:p>
  </w:footnote>
  <w:footnote w:id="58">
    <w:p w14:paraId="08BE74C6" w14:textId="7C31BE20" w:rsidR="00193935" w:rsidRPr="001A78AA" w:rsidRDefault="00193935" w:rsidP="00E25788">
      <w:pPr>
        <w:pStyle w:val="FootnoteText"/>
        <w:rPr>
          <w:rFonts w:cs="Arial"/>
        </w:rPr>
      </w:pPr>
      <w:r w:rsidRPr="00E27CF0">
        <w:rPr>
          <w:rStyle w:val="FootnoteReference"/>
          <w:rFonts w:cs="Arial"/>
          <w:szCs w:val="24"/>
        </w:rPr>
        <w:footnoteRef/>
      </w:r>
      <w:r w:rsidRPr="00E27CF0">
        <w:rPr>
          <w:rFonts w:cs="Arial"/>
          <w:szCs w:val="24"/>
        </w:rPr>
        <w:t xml:space="preserve"> Equality and Human Rights Commission (2019), </w:t>
      </w:r>
      <w:hyperlink r:id="rId63" w:history="1">
        <w:r w:rsidRPr="00E27CF0">
          <w:rPr>
            <w:rStyle w:val="Hyperlink"/>
            <w:rFonts w:cs="Arial"/>
            <w:color w:val="0B4E60" w:themeColor="text2"/>
            <w:szCs w:val="24"/>
          </w:rPr>
          <w:t>Human rights framework for restraint</w:t>
        </w:r>
      </w:hyperlink>
      <w:r w:rsidRPr="00E27CF0">
        <w:rPr>
          <w:rFonts w:cs="Arial"/>
          <w:szCs w:val="24"/>
        </w:rPr>
        <w:t xml:space="preserve"> [accessed 6 May 2021].</w:t>
      </w:r>
    </w:p>
  </w:footnote>
  <w:footnote w:id="59">
    <w:p w14:paraId="26D2BFD9" w14:textId="32083192" w:rsidR="00193935" w:rsidRPr="0072517E" w:rsidRDefault="00193935" w:rsidP="002457EB">
      <w:pPr>
        <w:pStyle w:val="FootnoteText"/>
        <w:rPr>
          <w:rFonts w:cs="Arial"/>
          <w:szCs w:val="24"/>
        </w:rPr>
      </w:pPr>
      <w:r w:rsidRPr="0072517E">
        <w:rPr>
          <w:rStyle w:val="FootnoteReference"/>
          <w:rFonts w:cs="Arial"/>
          <w:szCs w:val="24"/>
        </w:rPr>
        <w:footnoteRef/>
      </w:r>
      <w:r w:rsidRPr="0072517E">
        <w:rPr>
          <w:rFonts w:cs="Arial"/>
          <w:szCs w:val="24"/>
        </w:rPr>
        <w:t xml:space="preserve"> </w:t>
      </w:r>
      <w:r w:rsidRPr="0072517E">
        <w:rPr>
          <w:rFonts w:cs="Arial"/>
          <w:szCs w:val="24"/>
          <w:u w:color="009C98" w:themeColor="accent1"/>
        </w:rPr>
        <w:t xml:space="preserve">Department of Health and Social Care (2016), </w:t>
      </w:r>
      <w:hyperlink r:id="rId64" w:history="1">
        <w:r w:rsidRPr="0072517E">
          <w:rPr>
            <w:rStyle w:val="Hyperlink"/>
            <w:rFonts w:cs="Arial"/>
            <w:color w:val="0B4E60" w:themeColor="text2"/>
            <w:szCs w:val="24"/>
          </w:rPr>
          <w:t>Care and support statutory guidance</w:t>
        </w:r>
      </w:hyperlink>
      <w:r w:rsidRPr="0072517E">
        <w:rPr>
          <w:rFonts w:cs="Arial"/>
          <w:szCs w:val="24"/>
          <w:u w:color="009C98" w:themeColor="accent1"/>
        </w:rPr>
        <w:t xml:space="preserve"> [accessed: 18 January 2021].</w:t>
      </w:r>
    </w:p>
  </w:footnote>
  <w:footnote w:id="60">
    <w:p w14:paraId="7E169FCD" w14:textId="023F82FA" w:rsidR="00193935" w:rsidRPr="000C0843" w:rsidRDefault="00193935" w:rsidP="002457EB">
      <w:pPr>
        <w:pStyle w:val="FootnoteText"/>
        <w:rPr>
          <w:rFonts w:cs="Arial"/>
          <w:szCs w:val="24"/>
        </w:rPr>
      </w:pPr>
      <w:r w:rsidRPr="0072517E">
        <w:rPr>
          <w:rStyle w:val="FootnoteReference"/>
          <w:rFonts w:cs="Arial"/>
          <w:szCs w:val="24"/>
        </w:rPr>
        <w:footnoteRef/>
      </w:r>
      <w:r w:rsidRPr="0072517E">
        <w:rPr>
          <w:rFonts w:cs="Arial"/>
          <w:szCs w:val="24"/>
        </w:rPr>
        <w:t xml:space="preserve"> </w:t>
      </w:r>
      <w:r w:rsidRPr="0072517E">
        <w:rPr>
          <w:rFonts w:cs="Arial"/>
          <w:szCs w:val="24"/>
          <w:u w:color="009C98" w:themeColor="accent1"/>
        </w:rPr>
        <w:t xml:space="preserve">Equality and Human Rights Commission (2020), </w:t>
      </w:r>
      <w:hyperlink r:id="rId65" w:history="1">
        <w:r w:rsidRPr="0072517E">
          <w:rPr>
            <w:rStyle w:val="Hyperlink"/>
            <w:rFonts w:cs="Arial"/>
            <w:color w:val="0B4E60" w:themeColor="text2"/>
            <w:szCs w:val="24"/>
          </w:rPr>
          <w:t>Social care – UK Government assessment</w:t>
        </w:r>
      </w:hyperlink>
      <w:r w:rsidRPr="0072517E">
        <w:rPr>
          <w:rFonts w:cs="Arial"/>
          <w:szCs w:val="24"/>
          <w:u w:color="009C98" w:themeColor="accent1"/>
        </w:rPr>
        <w:t xml:space="preserve"> </w:t>
      </w:r>
      <w:r w:rsidRPr="0072517E">
        <w:rPr>
          <w:rFonts w:cs="Arial"/>
          <w:szCs w:val="24"/>
        </w:rPr>
        <w:t>[accessed: 17 February 2021].</w:t>
      </w:r>
    </w:p>
  </w:footnote>
  <w:footnote w:id="61">
    <w:p w14:paraId="67C025F7" w14:textId="59E03517" w:rsidR="00193935" w:rsidRPr="000C0843" w:rsidRDefault="00193935" w:rsidP="002457EB">
      <w:pPr>
        <w:pStyle w:val="FootnoteText"/>
        <w:rPr>
          <w:rFonts w:cs="Arial"/>
          <w:szCs w:val="24"/>
        </w:rPr>
      </w:pPr>
      <w:r w:rsidRPr="0072517E">
        <w:rPr>
          <w:rStyle w:val="FootnoteReference"/>
          <w:rFonts w:cs="Arial"/>
          <w:szCs w:val="24"/>
        </w:rPr>
        <w:footnoteRef/>
      </w:r>
      <w:r w:rsidRPr="0072517E">
        <w:rPr>
          <w:rFonts w:cs="Arial"/>
          <w:szCs w:val="24"/>
        </w:rPr>
        <w:t xml:space="preserve"> The King’s Fund (2020), </w:t>
      </w:r>
      <w:hyperlink r:id="rId66" w:history="1">
        <w:r w:rsidRPr="0072517E">
          <w:rPr>
            <w:rStyle w:val="Hyperlink"/>
            <w:rFonts w:cs="Arial"/>
            <w:color w:val="0B4E60" w:themeColor="text2"/>
            <w:szCs w:val="24"/>
          </w:rPr>
          <w:t>Social care 360</w:t>
        </w:r>
      </w:hyperlink>
      <w:r w:rsidRPr="0072517E">
        <w:rPr>
          <w:rStyle w:val="Hyperlink"/>
          <w:rFonts w:cs="Arial"/>
          <w:color w:val="0B4E60" w:themeColor="text2"/>
          <w:szCs w:val="24"/>
          <w:u w:val="none"/>
        </w:rPr>
        <w:t xml:space="preserve"> [accessed 6 May 2021].</w:t>
      </w:r>
    </w:p>
  </w:footnote>
  <w:footnote w:id="62">
    <w:p w14:paraId="517D6A5E" w14:textId="406E1D92" w:rsidR="00193935" w:rsidRPr="000C0843" w:rsidRDefault="00193935" w:rsidP="002457EB">
      <w:pPr>
        <w:pStyle w:val="FootnoteText"/>
        <w:rPr>
          <w:rFonts w:cs="Arial"/>
          <w:szCs w:val="24"/>
        </w:rPr>
      </w:pPr>
      <w:r w:rsidRPr="000C0843">
        <w:rPr>
          <w:rStyle w:val="FootnoteReference"/>
          <w:rFonts w:cs="Arial"/>
          <w:szCs w:val="24"/>
        </w:rPr>
        <w:footnoteRef/>
      </w:r>
      <w:r w:rsidRPr="000C0843">
        <w:rPr>
          <w:rFonts w:cs="Arial"/>
          <w:szCs w:val="24"/>
        </w:rPr>
        <w:t xml:space="preserve"> Ibid</w:t>
      </w:r>
      <w:r>
        <w:rPr>
          <w:rFonts w:cs="Arial"/>
          <w:szCs w:val="24"/>
        </w:rPr>
        <w:t>.</w:t>
      </w:r>
    </w:p>
  </w:footnote>
  <w:footnote w:id="63">
    <w:p w14:paraId="536678BB" w14:textId="169CABC4" w:rsidR="00193935" w:rsidRPr="000C0843" w:rsidRDefault="00193935" w:rsidP="002457EB">
      <w:pPr>
        <w:pStyle w:val="FootnoteText"/>
        <w:rPr>
          <w:rFonts w:cs="Arial"/>
          <w:szCs w:val="24"/>
        </w:rPr>
      </w:pPr>
      <w:r w:rsidRPr="00152B03">
        <w:rPr>
          <w:rStyle w:val="FootnoteReference"/>
          <w:rFonts w:cs="Arial"/>
          <w:szCs w:val="24"/>
        </w:rPr>
        <w:footnoteRef/>
      </w:r>
      <w:r w:rsidRPr="00152B03">
        <w:rPr>
          <w:rFonts w:cs="Arial"/>
          <w:szCs w:val="24"/>
        </w:rPr>
        <w:t xml:space="preserve"> Age UK (2019), </w:t>
      </w:r>
      <w:hyperlink r:id="rId67" w:history="1">
        <w:r w:rsidRPr="00152B03">
          <w:rPr>
            <w:rStyle w:val="Hyperlink"/>
            <w:rFonts w:cs="Arial"/>
            <w:color w:val="0B4E60" w:themeColor="text2"/>
            <w:szCs w:val="24"/>
          </w:rPr>
          <w:t>Estimating need in older people: findings for England</w:t>
        </w:r>
      </w:hyperlink>
      <w:r w:rsidRPr="00152B03">
        <w:rPr>
          <w:rFonts w:cs="Arial"/>
          <w:szCs w:val="24"/>
        </w:rPr>
        <w:t xml:space="preserve"> </w:t>
      </w:r>
      <w:r w:rsidRPr="00152B03">
        <w:rPr>
          <w:rStyle w:val="Hyperlink"/>
          <w:rFonts w:cs="Arial"/>
          <w:color w:val="0B4E60" w:themeColor="text2"/>
          <w:szCs w:val="24"/>
          <w:u w:val="none"/>
        </w:rPr>
        <w:t>[accessed 6 May 2021].</w:t>
      </w:r>
    </w:p>
  </w:footnote>
  <w:footnote w:id="64">
    <w:p w14:paraId="1D327CF2" w14:textId="33CD6711" w:rsidR="00193935" w:rsidRPr="001A78AA" w:rsidRDefault="00193935" w:rsidP="002457EB">
      <w:pPr>
        <w:pStyle w:val="FootnoteText"/>
        <w:rPr>
          <w:rFonts w:cs="Arial"/>
        </w:rPr>
      </w:pPr>
      <w:r w:rsidRPr="000C0843">
        <w:rPr>
          <w:rStyle w:val="FootnoteReference"/>
          <w:rFonts w:cs="Arial"/>
          <w:szCs w:val="24"/>
        </w:rPr>
        <w:footnoteRef/>
      </w:r>
      <w:r w:rsidRPr="000C0843">
        <w:rPr>
          <w:rFonts w:cs="Arial"/>
          <w:szCs w:val="24"/>
        </w:rPr>
        <w:t xml:space="preserve"> The King’s Fund (2020), </w:t>
      </w:r>
      <w:hyperlink r:id="rId68" w:history="1">
        <w:r w:rsidRPr="00152B03">
          <w:rPr>
            <w:rStyle w:val="Hyperlink"/>
            <w:rFonts w:cs="Arial"/>
            <w:color w:val="0B4E60" w:themeColor="text2"/>
            <w:szCs w:val="24"/>
          </w:rPr>
          <w:t>Social care 360</w:t>
        </w:r>
      </w:hyperlink>
      <w:r w:rsidRPr="00152B03">
        <w:rPr>
          <w:rStyle w:val="Hyperlink"/>
          <w:rFonts w:cs="Arial"/>
          <w:color w:val="0B4E60" w:themeColor="text2"/>
          <w:szCs w:val="24"/>
        </w:rPr>
        <w:t xml:space="preserve"> </w:t>
      </w:r>
      <w:r w:rsidRPr="00152B03">
        <w:rPr>
          <w:rStyle w:val="Hyperlink"/>
          <w:rFonts w:cs="Arial"/>
          <w:color w:val="0B4E60" w:themeColor="text2"/>
          <w:szCs w:val="24"/>
          <w:u w:val="none"/>
        </w:rPr>
        <w:t xml:space="preserve">[accessed </w:t>
      </w:r>
      <w:r w:rsidRPr="0072517E">
        <w:rPr>
          <w:rStyle w:val="Hyperlink"/>
          <w:rFonts w:cs="Arial"/>
          <w:color w:val="0B4E60" w:themeColor="text2"/>
          <w:szCs w:val="24"/>
          <w:u w:val="none"/>
        </w:rPr>
        <w:t>6 May 2021].</w:t>
      </w:r>
    </w:p>
  </w:footnote>
  <w:footnote w:id="65">
    <w:p w14:paraId="179CC06A" w14:textId="65AF3998" w:rsidR="00193935" w:rsidRPr="000C0843" w:rsidRDefault="00193935" w:rsidP="002457EB">
      <w:pPr>
        <w:pStyle w:val="FootnoteText"/>
        <w:rPr>
          <w:rFonts w:cs="Arial"/>
          <w:szCs w:val="24"/>
        </w:rPr>
      </w:pPr>
      <w:r w:rsidRPr="00152B03">
        <w:rPr>
          <w:rStyle w:val="FootnoteReference"/>
          <w:rFonts w:cs="Arial"/>
          <w:szCs w:val="24"/>
        </w:rPr>
        <w:footnoteRef/>
      </w:r>
      <w:r w:rsidRPr="00152B03">
        <w:rPr>
          <w:rFonts w:cs="Arial"/>
          <w:szCs w:val="24"/>
        </w:rPr>
        <w:t xml:space="preserve"> See list of promoting individual wellbeing principles in Section 1 of </w:t>
      </w:r>
      <w:hyperlink r:id="rId69" w:history="1">
        <w:r w:rsidRPr="00152B03">
          <w:rPr>
            <w:rStyle w:val="Hyperlink"/>
            <w:rFonts w:cs="Arial"/>
            <w:color w:val="0B4E60" w:themeColor="text2"/>
            <w:szCs w:val="24"/>
          </w:rPr>
          <w:t>Care Act 2014</w:t>
        </w:r>
      </w:hyperlink>
      <w:r w:rsidRPr="00152B03">
        <w:rPr>
          <w:rStyle w:val="Hyperlink"/>
          <w:rFonts w:cs="Arial"/>
          <w:color w:val="0B4E60" w:themeColor="text2"/>
          <w:szCs w:val="24"/>
        </w:rPr>
        <w:t xml:space="preserve"> </w:t>
      </w:r>
      <w:r w:rsidRPr="00152B03">
        <w:rPr>
          <w:rStyle w:val="Hyperlink"/>
          <w:rFonts w:cs="Arial"/>
          <w:color w:val="0B4E60" w:themeColor="text2"/>
          <w:szCs w:val="24"/>
          <w:u w:val="none"/>
        </w:rPr>
        <w:t>[accessed 6 May 2021].</w:t>
      </w:r>
    </w:p>
  </w:footnote>
  <w:footnote w:id="66">
    <w:p w14:paraId="738E63B1" w14:textId="23957530" w:rsidR="00193935" w:rsidRPr="000C0843" w:rsidRDefault="00193935" w:rsidP="002457EB">
      <w:pPr>
        <w:pStyle w:val="FootnoteText"/>
        <w:rPr>
          <w:rFonts w:cs="Arial"/>
          <w:szCs w:val="24"/>
        </w:rPr>
      </w:pPr>
      <w:r w:rsidRPr="000C0843">
        <w:rPr>
          <w:rStyle w:val="FootnoteReference"/>
          <w:rFonts w:cs="Arial"/>
          <w:szCs w:val="24"/>
        </w:rPr>
        <w:footnoteRef/>
      </w:r>
      <w:r w:rsidRPr="000C0843">
        <w:rPr>
          <w:rFonts w:cs="Arial"/>
          <w:szCs w:val="24"/>
        </w:rPr>
        <w:t xml:space="preserve"> </w:t>
      </w:r>
      <w:r w:rsidRPr="00152B03">
        <w:rPr>
          <w:rFonts w:cs="Arial"/>
          <w:szCs w:val="24"/>
        </w:rPr>
        <w:t xml:space="preserve">UN Committee on the Rights of Persons with Disabilities (2017), </w:t>
      </w:r>
      <w:hyperlink r:id="rId70" w:history="1">
        <w:r w:rsidRPr="00152B03">
          <w:rPr>
            <w:rStyle w:val="Hyperlink"/>
            <w:rFonts w:cs="Arial"/>
            <w:color w:val="0B4E60" w:themeColor="text2"/>
            <w:szCs w:val="24"/>
          </w:rPr>
          <w:t>Inquiry concerning the United Kingdom of Great Britain and Northern Ireland carried out by the Committee under article 6 of the Optional Protocol to the Convention</w:t>
        </w:r>
      </w:hyperlink>
      <w:r>
        <w:rPr>
          <w:rStyle w:val="Hyperlink"/>
          <w:rFonts w:cs="Arial"/>
          <w:color w:val="0B4E60" w:themeColor="text2"/>
          <w:szCs w:val="24"/>
        </w:rPr>
        <w:t xml:space="preserve"> </w:t>
      </w:r>
      <w:r w:rsidRPr="0072517E">
        <w:rPr>
          <w:rStyle w:val="Hyperlink"/>
          <w:rFonts w:cs="Arial"/>
          <w:color w:val="0B4E60" w:themeColor="text2"/>
          <w:szCs w:val="24"/>
          <w:u w:val="none"/>
        </w:rPr>
        <w:t>[accessed 6 May 2021].</w:t>
      </w:r>
    </w:p>
  </w:footnote>
  <w:footnote w:id="67">
    <w:p w14:paraId="10C26011" w14:textId="3C6D9C8E" w:rsidR="00193935" w:rsidRPr="00152B03" w:rsidRDefault="00193935" w:rsidP="002457EB">
      <w:pPr>
        <w:pStyle w:val="FootnoteText"/>
        <w:rPr>
          <w:szCs w:val="24"/>
        </w:rPr>
      </w:pPr>
      <w:r w:rsidRPr="00152B03">
        <w:rPr>
          <w:rStyle w:val="FootnoteReference"/>
          <w:rFonts w:ascii="Arial" w:hAnsi="Arial" w:cs="Arial"/>
          <w:szCs w:val="24"/>
        </w:rPr>
        <w:footnoteRef/>
      </w:r>
      <w:r w:rsidRPr="00152B03">
        <w:rPr>
          <w:szCs w:val="24"/>
        </w:rPr>
        <w:t xml:space="preserve"> </w:t>
      </w:r>
      <w:r w:rsidRPr="00152B03">
        <w:rPr>
          <w:szCs w:val="24"/>
          <w:u w:color="009C98" w:themeColor="accent1"/>
        </w:rPr>
        <w:t xml:space="preserve">Independent Age (2019), </w:t>
      </w:r>
      <w:hyperlink r:id="rId71" w:history="1">
        <w:r w:rsidRPr="00152B03">
          <w:rPr>
            <w:rStyle w:val="Hyperlink"/>
            <w:color w:val="0B4E60" w:themeColor="text2"/>
            <w:szCs w:val="24"/>
          </w:rPr>
          <w:t>Reviewing the case: The right to appeal in adult social care</w:t>
        </w:r>
      </w:hyperlink>
      <w:r w:rsidRPr="00152B03">
        <w:rPr>
          <w:szCs w:val="24"/>
          <w:u w:color="009C98" w:themeColor="accent1"/>
        </w:rPr>
        <w:t xml:space="preserve"> [accessed: 26 February 2021].</w:t>
      </w:r>
      <w:r w:rsidRPr="00152B03">
        <w:rPr>
          <w:szCs w:val="24"/>
        </w:rPr>
        <w:t xml:space="preserve"> See also: </w:t>
      </w:r>
      <w:r w:rsidRPr="00152B03">
        <w:rPr>
          <w:szCs w:val="24"/>
          <w:u w:color="009C98" w:themeColor="accent1"/>
        </w:rPr>
        <w:t xml:space="preserve">Carter, C. (2019), </w:t>
      </w:r>
      <w:hyperlink r:id="rId72" w:history="1">
        <w:r w:rsidRPr="00152B03">
          <w:rPr>
            <w:rStyle w:val="Hyperlink"/>
            <w:color w:val="0B4E60" w:themeColor="text2"/>
            <w:szCs w:val="24"/>
          </w:rPr>
          <w:t>Just one in five councils have appeals processes for adult social care decisions, research finds</w:t>
        </w:r>
      </w:hyperlink>
      <w:r w:rsidRPr="00152B03">
        <w:rPr>
          <w:bCs/>
          <w:szCs w:val="24"/>
          <w:u w:color="009C98" w:themeColor="accent1"/>
        </w:rPr>
        <w:t xml:space="preserve">, Community Care, 14 October </w:t>
      </w:r>
      <w:r w:rsidRPr="00152B03">
        <w:rPr>
          <w:szCs w:val="24"/>
          <w:u w:color="009C98" w:themeColor="accent1"/>
        </w:rPr>
        <w:t>[accessed: 18 January 2021].</w:t>
      </w:r>
    </w:p>
  </w:footnote>
  <w:footnote w:id="68">
    <w:p w14:paraId="304A5E98" w14:textId="4170EEF9" w:rsidR="00193935" w:rsidRPr="000C0843" w:rsidRDefault="00193935" w:rsidP="002457EB">
      <w:pPr>
        <w:pStyle w:val="FootnoteText"/>
        <w:rPr>
          <w:rFonts w:cs="Arial"/>
          <w:szCs w:val="24"/>
        </w:rPr>
      </w:pPr>
      <w:r w:rsidRPr="00152B03">
        <w:rPr>
          <w:rStyle w:val="FootnoteReference"/>
          <w:rFonts w:cs="Arial"/>
          <w:szCs w:val="24"/>
        </w:rPr>
        <w:footnoteRef/>
      </w:r>
      <w:r w:rsidRPr="00152B03">
        <w:rPr>
          <w:rFonts w:cs="Arial"/>
          <w:szCs w:val="24"/>
        </w:rPr>
        <w:t xml:space="preserve"> </w:t>
      </w:r>
      <w:r w:rsidRPr="00152B03">
        <w:rPr>
          <w:rFonts w:cs="Arial"/>
          <w:szCs w:val="24"/>
          <w:u w:color="009C98" w:themeColor="accent1"/>
        </w:rPr>
        <w:t xml:space="preserve">Carers UK (2019), </w:t>
      </w:r>
      <w:hyperlink r:id="rId73" w:history="1">
        <w:r w:rsidRPr="00152B03">
          <w:rPr>
            <w:rStyle w:val="Hyperlink"/>
            <w:rFonts w:cs="Arial"/>
            <w:color w:val="0B4E60" w:themeColor="text2"/>
            <w:szCs w:val="24"/>
          </w:rPr>
          <w:t>Facts &amp; figures</w:t>
        </w:r>
      </w:hyperlink>
      <w:r w:rsidRPr="00152B03">
        <w:rPr>
          <w:rFonts w:cs="Arial"/>
          <w:szCs w:val="24"/>
          <w:u w:color="009C98" w:themeColor="accent1"/>
        </w:rPr>
        <w:t xml:space="preserve"> [accessed: 18 January 2021].</w:t>
      </w:r>
    </w:p>
  </w:footnote>
  <w:footnote w:id="69">
    <w:p w14:paraId="301BBE11" w14:textId="01DA7396" w:rsidR="00193935" w:rsidRPr="000C0843" w:rsidRDefault="00193935" w:rsidP="006C1E0B">
      <w:pPr>
        <w:rPr>
          <w:rFonts w:cs="Arial"/>
          <w:szCs w:val="24"/>
        </w:rPr>
      </w:pPr>
      <w:r w:rsidRPr="00152B03">
        <w:rPr>
          <w:rStyle w:val="FootnoteReference"/>
          <w:rFonts w:cs="Arial"/>
          <w:color w:val="0B4E60" w:themeColor="text2"/>
          <w:szCs w:val="24"/>
        </w:rPr>
        <w:footnoteRef/>
      </w:r>
      <w:r w:rsidRPr="00152B03">
        <w:rPr>
          <w:rFonts w:cs="Arial"/>
          <w:color w:val="0B4E60" w:themeColor="text2"/>
          <w:szCs w:val="24"/>
        </w:rPr>
        <w:t xml:space="preserve"> UN </w:t>
      </w:r>
      <w:r w:rsidRPr="00152B03">
        <w:rPr>
          <w:rFonts w:ascii="Arial" w:hAnsi="Arial" w:cs="Arial"/>
          <w:color w:val="0B4E60" w:themeColor="text2"/>
          <w:szCs w:val="24"/>
          <w:u w:color="009C98" w:themeColor="accent1"/>
        </w:rPr>
        <w:t xml:space="preserve">Committee on the Rights of Persons with Disabilities (2017), </w:t>
      </w:r>
      <w:hyperlink r:id="rId74" w:history="1">
        <w:r w:rsidRPr="00152B03">
          <w:rPr>
            <w:rStyle w:val="Hyperlink"/>
            <w:rFonts w:ascii="Arial" w:hAnsi="Arial" w:cs="Arial"/>
            <w:color w:val="0B4E60" w:themeColor="text2"/>
            <w:szCs w:val="24"/>
          </w:rPr>
          <w:t>General comment No. 5 (2017) on living independently and being included in the community</w:t>
        </w:r>
      </w:hyperlink>
      <w:r w:rsidRPr="00152B03">
        <w:rPr>
          <w:rFonts w:ascii="Arial" w:hAnsi="Arial" w:cs="Arial"/>
          <w:color w:val="0B4E60" w:themeColor="text2"/>
          <w:szCs w:val="24"/>
          <w:u w:color="009C98" w:themeColor="accent1"/>
        </w:rPr>
        <w:t xml:space="preserve"> [accessed </w:t>
      </w:r>
      <w:r>
        <w:rPr>
          <w:rFonts w:ascii="Arial" w:hAnsi="Arial" w:cs="Arial"/>
          <w:color w:val="0B4E60" w:themeColor="text2"/>
          <w:szCs w:val="24"/>
          <w:u w:color="009C98" w:themeColor="accent1"/>
        </w:rPr>
        <w:t xml:space="preserve">6 May </w:t>
      </w:r>
      <w:r w:rsidRPr="00152B03">
        <w:rPr>
          <w:rFonts w:ascii="Arial" w:hAnsi="Arial" w:cs="Arial"/>
          <w:color w:val="0B4E60" w:themeColor="text2"/>
          <w:szCs w:val="24"/>
          <w:u w:color="009C98" w:themeColor="accent1"/>
        </w:rPr>
        <w:t>2021]</w:t>
      </w:r>
    </w:p>
  </w:footnote>
  <w:footnote w:id="70">
    <w:p w14:paraId="2355915E" w14:textId="5ECFF980" w:rsidR="00193935" w:rsidRPr="000C0843" w:rsidRDefault="00193935" w:rsidP="002457EB">
      <w:pPr>
        <w:pStyle w:val="FootnoteText"/>
        <w:rPr>
          <w:rFonts w:cs="Arial"/>
          <w:szCs w:val="24"/>
        </w:rPr>
      </w:pPr>
      <w:r w:rsidRPr="00152B03">
        <w:rPr>
          <w:rStyle w:val="FootnoteReference"/>
          <w:rFonts w:cs="Arial"/>
          <w:szCs w:val="24"/>
        </w:rPr>
        <w:footnoteRef/>
      </w:r>
      <w:r w:rsidRPr="00152B03">
        <w:rPr>
          <w:rFonts w:cs="Arial"/>
          <w:szCs w:val="24"/>
        </w:rPr>
        <w:t xml:space="preserve"> House of Commons Library (2018), </w:t>
      </w:r>
      <w:hyperlink r:id="rId75" w:history="1">
        <w:r w:rsidRPr="00152B03">
          <w:rPr>
            <w:rStyle w:val="Hyperlink"/>
            <w:rFonts w:cs="Arial"/>
            <w:color w:val="0B4E60" w:themeColor="text2"/>
            <w:szCs w:val="24"/>
          </w:rPr>
          <w:t>Research briefing: Changes to the Independent Living Fund</w:t>
        </w:r>
      </w:hyperlink>
      <w:r>
        <w:rPr>
          <w:rFonts w:cs="Arial"/>
          <w:szCs w:val="24"/>
        </w:rPr>
        <w:t xml:space="preserve"> [accessed 6 May 2021]</w:t>
      </w:r>
    </w:p>
  </w:footnote>
  <w:footnote w:id="71">
    <w:p w14:paraId="24B683D0" w14:textId="77777777" w:rsidR="00193935" w:rsidRPr="000C0843" w:rsidRDefault="00193935" w:rsidP="002457EB">
      <w:pPr>
        <w:pStyle w:val="FootnoteText"/>
        <w:rPr>
          <w:rFonts w:cs="Arial"/>
          <w:szCs w:val="24"/>
        </w:rPr>
      </w:pPr>
      <w:r w:rsidRPr="000C0843">
        <w:rPr>
          <w:rStyle w:val="FootnoteReference"/>
          <w:rFonts w:cs="Arial"/>
          <w:szCs w:val="24"/>
        </w:rPr>
        <w:footnoteRef/>
      </w:r>
      <w:r w:rsidRPr="000C0843">
        <w:rPr>
          <w:rFonts w:cs="Arial"/>
          <w:szCs w:val="24"/>
        </w:rPr>
        <w:t xml:space="preserve"> Ibid.</w:t>
      </w:r>
    </w:p>
  </w:footnote>
  <w:footnote w:id="72">
    <w:p w14:paraId="45B8607B" w14:textId="26138A14" w:rsidR="00193935" w:rsidRPr="00152B03" w:rsidRDefault="00193935" w:rsidP="00493DD7">
      <w:pPr>
        <w:pStyle w:val="FootnoteText"/>
        <w:rPr>
          <w:rFonts w:cs="Arial"/>
          <w:szCs w:val="24"/>
        </w:rPr>
      </w:pPr>
      <w:r w:rsidRPr="00152B03">
        <w:rPr>
          <w:rStyle w:val="FootnoteReference"/>
          <w:rFonts w:cs="Arial"/>
          <w:szCs w:val="24"/>
        </w:rPr>
        <w:footnoteRef/>
      </w:r>
      <w:r w:rsidRPr="00152B03">
        <w:rPr>
          <w:rFonts w:cs="Arial"/>
          <w:szCs w:val="24"/>
        </w:rPr>
        <w:t xml:space="preserve"> </w:t>
      </w:r>
      <w:r w:rsidRPr="00152B03">
        <w:rPr>
          <w:rFonts w:cs="Arial"/>
          <w:szCs w:val="24"/>
          <w:u w:color="009C98" w:themeColor="accent1"/>
        </w:rPr>
        <w:t xml:space="preserve">In Control (2018), </w:t>
      </w:r>
      <w:hyperlink r:id="rId76" w:history="1">
        <w:r w:rsidRPr="00152B03">
          <w:rPr>
            <w:rStyle w:val="Hyperlink"/>
            <w:rFonts w:cs="Arial"/>
            <w:color w:val="0B4E60" w:themeColor="text2"/>
            <w:szCs w:val="24"/>
          </w:rPr>
          <w:t>Report on the Independent Living Survey 2016</w:t>
        </w:r>
      </w:hyperlink>
      <w:r w:rsidRPr="00152B03">
        <w:rPr>
          <w:rFonts w:cs="Arial"/>
          <w:szCs w:val="24"/>
          <w:u w:color="009C98" w:themeColor="accent1"/>
        </w:rPr>
        <w:t xml:space="preserve"> [accessed: 15 January 2021].</w:t>
      </w:r>
      <w:r w:rsidRPr="00152B03">
        <w:rPr>
          <w:rFonts w:cs="Arial"/>
          <w:szCs w:val="24"/>
        </w:rPr>
        <w:t xml:space="preserve"> </w:t>
      </w:r>
    </w:p>
  </w:footnote>
  <w:footnote w:id="73">
    <w:p w14:paraId="4D5A352F" w14:textId="75EA7CFB" w:rsidR="00193935" w:rsidRPr="001A78AA" w:rsidRDefault="00193935" w:rsidP="00493DD7">
      <w:pPr>
        <w:pStyle w:val="FootnoteText"/>
        <w:rPr>
          <w:rFonts w:cs="Arial"/>
        </w:rPr>
      </w:pPr>
      <w:r w:rsidRPr="00152B03">
        <w:rPr>
          <w:rStyle w:val="FootnoteReference"/>
          <w:rFonts w:cs="Arial"/>
          <w:szCs w:val="24"/>
        </w:rPr>
        <w:footnoteRef/>
      </w:r>
      <w:r w:rsidRPr="00152B03">
        <w:rPr>
          <w:rFonts w:cs="Arial"/>
          <w:szCs w:val="24"/>
        </w:rPr>
        <w:t xml:space="preserve"> </w:t>
      </w:r>
      <w:bookmarkStart w:id="45" w:name="_Hlk66716350"/>
      <w:r w:rsidRPr="00152B03">
        <w:rPr>
          <w:rFonts w:cs="Arial"/>
          <w:szCs w:val="24"/>
        </w:rPr>
        <w:t xml:space="preserve">UN Committee on the Rights of Persons with Disabilities (2017), </w:t>
      </w:r>
      <w:hyperlink r:id="rId77" w:history="1">
        <w:r w:rsidRPr="00152B03">
          <w:rPr>
            <w:rStyle w:val="Hyperlink"/>
            <w:rFonts w:cs="Arial"/>
            <w:bCs/>
            <w:color w:val="0B4E60" w:themeColor="text2"/>
            <w:szCs w:val="24"/>
          </w:rPr>
          <w:t>Inquiry concerning the United Kingdom of Great Britain and Northern Ireland carried out by the Committee under article 6 of the Optional Protocol to the Convention</w:t>
        </w:r>
      </w:hyperlink>
      <w:bookmarkEnd w:id="45"/>
      <w:r w:rsidRPr="00152B03">
        <w:rPr>
          <w:rStyle w:val="Hyperlink"/>
          <w:rFonts w:cs="Arial"/>
          <w:bCs/>
          <w:color w:val="0B4E60" w:themeColor="text2"/>
          <w:szCs w:val="24"/>
        </w:rPr>
        <w:t xml:space="preserve"> </w:t>
      </w:r>
      <w:r w:rsidRPr="00152B03">
        <w:rPr>
          <w:rFonts w:cs="Arial"/>
          <w:szCs w:val="24"/>
          <w:u w:color="009C98" w:themeColor="accent1"/>
        </w:rPr>
        <w:t>[accessed: 15 January 2021].</w:t>
      </w:r>
    </w:p>
  </w:footnote>
  <w:footnote w:id="74">
    <w:p w14:paraId="7DBAC069" w14:textId="00C8D1A1" w:rsidR="00193935" w:rsidRPr="00211230" w:rsidRDefault="00193935" w:rsidP="00493DD7">
      <w:pPr>
        <w:pStyle w:val="FootnoteText"/>
        <w:rPr>
          <w:rFonts w:cs="Arial"/>
          <w:szCs w:val="24"/>
        </w:rPr>
      </w:pPr>
      <w:r w:rsidRPr="00211230">
        <w:rPr>
          <w:rStyle w:val="FootnoteReference"/>
          <w:rFonts w:cs="Arial"/>
          <w:szCs w:val="24"/>
        </w:rPr>
        <w:footnoteRef/>
      </w:r>
      <w:r w:rsidRPr="00211230">
        <w:rPr>
          <w:rFonts w:cs="Arial"/>
          <w:szCs w:val="24"/>
        </w:rPr>
        <w:t xml:space="preserve"> </w:t>
      </w:r>
      <w:hyperlink r:id="rId78" w:history="1">
        <w:r w:rsidRPr="00211230">
          <w:rPr>
            <w:rStyle w:val="Hyperlink"/>
            <w:rFonts w:cs="Arial"/>
            <w:color w:val="0B4E60" w:themeColor="text2"/>
            <w:szCs w:val="24"/>
          </w:rPr>
          <w:t>Coronavirus Act 2020</w:t>
        </w:r>
      </w:hyperlink>
      <w:r w:rsidRPr="00211230">
        <w:rPr>
          <w:rFonts w:cs="Arial"/>
          <w:szCs w:val="24"/>
        </w:rPr>
        <w:t xml:space="preserve">, Clause 15 and Schedule 12; see also </w:t>
      </w:r>
      <w:hyperlink r:id="rId79" w:history="1">
        <w:r w:rsidRPr="00211230">
          <w:rPr>
            <w:rStyle w:val="Hyperlink"/>
            <w:rFonts w:cs="Arial"/>
            <w:color w:val="0B4E60" w:themeColor="text2"/>
            <w:szCs w:val="24"/>
          </w:rPr>
          <w:t>Coronavirus Bill Explanatory Notes</w:t>
        </w:r>
      </w:hyperlink>
      <w:r w:rsidRPr="00211230">
        <w:rPr>
          <w:rFonts w:cs="Arial"/>
          <w:szCs w:val="24"/>
        </w:rPr>
        <w:t xml:space="preserve">, paragraphs 232–237 </w:t>
      </w:r>
      <w:r w:rsidRPr="00211230">
        <w:rPr>
          <w:rFonts w:cs="Arial"/>
          <w:szCs w:val="24"/>
          <w:u w:color="009C98" w:themeColor="accent1"/>
        </w:rPr>
        <w:t>[accessed: 15 January 2021].</w:t>
      </w:r>
      <w:r w:rsidRPr="00211230">
        <w:rPr>
          <w:rFonts w:cs="Arial"/>
          <w:szCs w:val="24"/>
        </w:rPr>
        <w:t xml:space="preserve">  </w:t>
      </w:r>
    </w:p>
  </w:footnote>
  <w:footnote w:id="75">
    <w:p w14:paraId="00747130" w14:textId="1538926E" w:rsidR="00193935" w:rsidRPr="000C0843" w:rsidRDefault="00193935" w:rsidP="00493DD7">
      <w:pPr>
        <w:spacing w:line="240" w:lineRule="auto"/>
        <w:contextualSpacing/>
        <w:rPr>
          <w:rFonts w:ascii="Arial" w:hAnsi="Arial" w:cs="Arial"/>
          <w:szCs w:val="24"/>
        </w:rPr>
      </w:pPr>
      <w:r w:rsidRPr="00211230">
        <w:rPr>
          <w:rStyle w:val="FootnoteReference"/>
          <w:rFonts w:ascii="Arial" w:hAnsi="Arial" w:cs="Arial"/>
          <w:color w:val="0B4E60" w:themeColor="text2"/>
          <w:szCs w:val="24"/>
        </w:rPr>
        <w:footnoteRef/>
      </w:r>
      <w:r w:rsidRPr="00211230">
        <w:rPr>
          <w:rFonts w:ascii="Arial" w:hAnsi="Arial" w:cs="Arial"/>
          <w:color w:val="0B4E60" w:themeColor="text2"/>
          <w:szCs w:val="24"/>
        </w:rPr>
        <w:t xml:space="preserve"> </w:t>
      </w:r>
      <w:bookmarkStart w:id="47" w:name="_Hlk66717347"/>
      <w:r w:rsidRPr="00211230">
        <w:rPr>
          <w:rFonts w:ascii="Arial" w:hAnsi="Arial" w:cs="Arial"/>
          <w:color w:val="0B4E60" w:themeColor="text2"/>
          <w:szCs w:val="24"/>
        </w:rPr>
        <w:t xml:space="preserve">House of Commons Women and Equalities Committee (25 September 2020), </w:t>
      </w:r>
      <w:hyperlink r:id="rId80" w:history="1">
        <w:r w:rsidRPr="00211230">
          <w:rPr>
            <w:rStyle w:val="Hyperlink"/>
            <w:rFonts w:ascii="Arial" w:hAnsi="Arial" w:cs="Arial"/>
            <w:color w:val="0B4E60" w:themeColor="text2"/>
            <w:szCs w:val="24"/>
          </w:rPr>
          <w:t>Unequal impact? Coronavirus, disability and access to services: interim report on temporary provisions in the Coronavirus Act</w:t>
        </w:r>
      </w:hyperlink>
      <w:bookmarkEnd w:id="47"/>
      <w:r w:rsidRPr="00211230">
        <w:rPr>
          <w:rFonts w:ascii="Arial" w:hAnsi="Arial" w:cs="Arial"/>
          <w:color w:val="0B4E60" w:themeColor="text2"/>
          <w:szCs w:val="24"/>
        </w:rPr>
        <w:t xml:space="preserve">, paragraph 13 </w:t>
      </w:r>
      <w:r w:rsidRPr="00211230">
        <w:rPr>
          <w:rFonts w:cs="Arial"/>
          <w:color w:val="0B4E60" w:themeColor="text2"/>
          <w:szCs w:val="24"/>
          <w:u w:color="009C98" w:themeColor="accent1"/>
        </w:rPr>
        <w:t>[accessed: 15 January 2021].</w:t>
      </w:r>
      <w:r w:rsidRPr="00211230">
        <w:rPr>
          <w:rFonts w:cs="Arial"/>
          <w:color w:val="0B4E60" w:themeColor="text2"/>
          <w:szCs w:val="24"/>
        </w:rPr>
        <w:t xml:space="preserve"> </w:t>
      </w:r>
      <w:r w:rsidRPr="00211230">
        <w:rPr>
          <w:rFonts w:ascii="Arial" w:hAnsi="Arial" w:cs="Arial"/>
          <w:color w:val="0B4E60" w:themeColor="text2"/>
          <w:szCs w:val="24"/>
        </w:rPr>
        <w:t xml:space="preserve">See also: Care Quality Commission (updated February 2021), </w:t>
      </w:r>
      <w:hyperlink r:id="rId81" w:history="1">
        <w:r w:rsidRPr="00211230">
          <w:rPr>
            <w:rStyle w:val="Hyperlink"/>
            <w:rFonts w:ascii="Arial" w:hAnsi="Arial" w:cs="Arial"/>
            <w:color w:val="0B4E60" w:themeColor="text2"/>
            <w:szCs w:val="24"/>
            <w:lang w:eastAsia="en-GB"/>
          </w:rPr>
          <w:t>The Care Act and the ‘easements’ to it</w:t>
        </w:r>
      </w:hyperlink>
      <w:r w:rsidRPr="00211230">
        <w:rPr>
          <w:rFonts w:ascii="Arial" w:hAnsi="Arial" w:cs="Arial"/>
          <w:color w:val="0B4E60" w:themeColor="text2"/>
          <w:szCs w:val="24"/>
          <w:lang w:eastAsia="en-GB"/>
        </w:rPr>
        <w:t xml:space="preserve"> </w:t>
      </w:r>
      <w:r w:rsidRPr="00211230">
        <w:rPr>
          <w:rFonts w:cs="Arial"/>
          <w:color w:val="0B4E60" w:themeColor="text2"/>
          <w:szCs w:val="24"/>
          <w:u w:color="009C98" w:themeColor="accent1"/>
        </w:rPr>
        <w:t>[accessed: 15 January 2021].</w:t>
      </w:r>
    </w:p>
  </w:footnote>
  <w:footnote w:id="76">
    <w:p w14:paraId="72570548" w14:textId="2C667927" w:rsidR="00193935" w:rsidRPr="00211230" w:rsidRDefault="00193935" w:rsidP="00493DD7">
      <w:pPr>
        <w:pStyle w:val="FootnoteText"/>
        <w:contextualSpacing/>
        <w:rPr>
          <w:rFonts w:cs="Arial"/>
          <w:szCs w:val="24"/>
        </w:rPr>
      </w:pPr>
      <w:r w:rsidRPr="00211230">
        <w:rPr>
          <w:rStyle w:val="FootnoteReference"/>
          <w:rFonts w:cs="Arial"/>
          <w:szCs w:val="24"/>
        </w:rPr>
        <w:footnoteRef/>
      </w:r>
      <w:r w:rsidRPr="00211230">
        <w:rPr>
          <w:rFonts w:cs="Arial"/>
          <w:szCs w:val="24"/>
        </w:rPr>
        <w:t xml:space="preserve"> Department of Health and Social Care (20 May 2020), ‘</w:t>
      </w:r>
      <w:hyperlink r:id="rId82" w:history="1">
        <w:r w:rsidRPr="00211230">
          <w:rPr>
            <w:rStyle w:val="Hyperlink"/>
            <w:rFonts w:cs="Arial"/>
            <w:color w:val="0B4E60" w:themeColor="text2"/>
            <w:szCs w:val="24"/>
          </w:rPr>
          <w:t>Care Act easements: Guidance for local authorities</w:t>
        </w:r>
      </w:hyperlink>
      <w:r w:rsidRPr="00211230">
        <w:rPr>
          <w:rStyle w:val="Hyperlink"/>
          <w:rFonts w:cs="Arial"/>
          <w:color w:val="0B4E60" w:themeColor="text2"/>
          <w:szCs w:val="24"/>
        </w:rPr>
        <w:t xml:space="preserve">’, annex A, </w:t>
      </w:r>
      <w:r w:rsidRPr="00211230">
        <w:rPr>
          <w:rFonts w:cs="Arial"/>
          <w:szCs w:val="24"/>
          <w:u w:color="009C98" w:themeColor="accent1"/>
        </w:rPr>
        <w:t>[accessed: 15 January 2021].</w:t>
      </w:r>
    </w:p>
  </w:footnote>
  <w:footnote w:id="77">
    <w:p w14:paraId="058901CA" w14:textId="07981172" w:rsidR="00193935" w:rsidRPr="00211230" w:rsidRDefault="00193935" w:rsidP="00493DD7">
      <w:pPr>
        <w:pStyle w:val="FootnoteText"/>
        <w:spacing w:after="60"/>
        <w:rPr>
          <w:rFonts w:cs="Arial"/>
          <w:szCs w:val="24"/>
        </w:rPr>
      </w:pPr>
      <w:r w:rsidRPr="00211230">
        <w:rPr>
          <w:rStyle w:val="FootnoteReference"/>
          <w:rFonts w:cs="Arial"/>
          <w:szCs w:val="24"/>
        </w:rPr>
        <w:footnoteRef/>
      </w:r>
      <w:r w:rsidRPr="00211230">
        <w:rPr>
          <w:rFonts w:cs="Arial"/>
          <w:szCs w:val="24"/>
        </w:rPr>
        <w:t xml:space="preserve"> Research Institute for Disabled Consumers (RIDC) (June 2020), </w:t>
      </w:r>
      <w:hyperlink r:id="rId83" w:history="1">
        <w:r w:rsidRPr="00211230">
          <w:rPr>
            <w:rStyle w:val="Hyperlink"/>
            <w:rFonts w:cs="Arial"/>
            <w:color w:val="0B4E60" w:themeColor="text2"/>
            <w:szCs w:val="24"/>
          </w:rPr>
          <w:t>COVID-19: our third survey into the impact on disabled and older people</w:t>
        </w:r>
      </w:hyperlink>
      <w:r w:rsidRPr="00211230">
        <w:rPr>
          <w:rFonts w:cs="Arial"/>
          <w:szCs w:val="24"/>
          <w:u w:color="009C98" w:themeColor="accent1"/>
        </w:rPr>
        <w:t xml:space="preserve"> [accessed 6 May 2021]</w:t>
      </w:r>
      <w:r w:rsidRPr="00211230">
        <w:rPr>
          <w:rFonts w:cs="Arial"/>
          <w:szCs w:val="24"/>
        </w:rPr>
        <w:t>; Sisters of Frida (April 2020), ‘</w:t>
      </w:r>
      <w:hyperlink r:id="rId84" w:history="1">
        <w:r w:rsidRPr="00211230">
          <w:rPr>
            <w:rStyle w:val="Hyperlink"/>
            <w:rFonts w:cs="Arial"/>
            <w:color w:val="0B4E60" w:themeColor="text2"/>
            <w:szCs w:val="24"/>
          </w:rPr>
          <w:t>The impact of COVID-19 on disabled women from Sisters of Frida</w:t>
        </w:r>
      </w:hyperlink>
      <w:r w:rsidRPr="00211230">
        <w:rPr>
          <w:rStyle w:val="Hyperlink"/>
          <w:rFonts w:cs="Arial"/>
          <w:color w:val="0B4E60" w:themeColor="text2"/>
          <w:szCs w:val="24"/>
          <w:u w:val="none"/>
        </w:rPr>
        <w:t xml:space="preserve"> </w:t>
      </w:r>
      <w:r w:rsidRPr="00211230">
        <w:rPr>
          <w:rFonts w:cs="Arial"/>
          <w:szCs w:val="24"/>
          <w:u w:color="009C98" w:themeColor="accent1"/>
        </w:rPr>
        <w:t>[accessed 6 May 2021]</w:t>
      </w:r>
      <w:r w:rsidRPr="00211230">
        <w:rPr>
          <w:rFonts w:cs="Arial"/>
          <w:szCs w:val="24"/>
        </w:rPr>
        <w:t xml:space="preserve">; Inclusion London (June 2020), </w:t>
      </w:r>
      <w:hyperlink r:id="rId85" w:history="1">
        <w:r w:rsidRPr="00211230">
          <w:rPr>
            <w:rStyle w:val="Hyperlink"/>
            <w:rFonts w:cs="Arial"/>
            <w:color w:val="0B4E60" w:themeColor="text2"/>
            <w:szCs w:val="24"/>
          </w:rPr>
          <w:t>Abandoned, forgotten and ignored: the impact of the coronavirus on disabled people: interim report</w:t>
        </w:r>
      </w:hyperlink>
      <w:r w:rsidRPr="00211230">
        <w:rPr>
          <w:rFonts w:cs="Arial"/>
          <w:szCs w:val="24"/>
        </w:rPr>
        <w:t xml:space="preserve"> </w:t>
      </w:r>
      <w:r w:rsidRPr="00211230">
        <w:rPr>
          <w:rFonts w:cs="Arial"/>
          <w:szCs w:val="24"/>
          <w:u w:color="009C98" w:themeColor="accent1"/>
        </w:rPr>
        <w:t>[accessed 6 May 2021].</w:t>
      </w:r>
    </w:p>
  </w:footnote>
  <w:footnote w:id="78">
    <w:p w14:paraId="0D624959" w14:textId="77777777" w:rsidR="00E27CF0" w:rsidRPr="00211230" w:rsidRDefault="00E27CF0" w:rsidP="00E27CF0">
      <w:pPr>
        <w:pStyle w:val="FootnoteText"/>
        <w:rPr>
          <w:rFonts w:ascii="Arial" w:hAnsi="Arial" w:cs="Arial"/>
          <w:szCs w:val="24"/>
        </w:rPr>
      </w:pPr>
      <w:r w:rsidRPr="00211230">
        <w:rPr>
          <w:rStyle w:val="FootnoteReference"/>
          <w:rFonts w:cs="Arial"/>
          <w:szCs w:val="24"/>
        </w:rPr>
        <w:footnoteRef/>
      </w:r>
      <w:r w:rsidRPr="00211230">
        <w:rPr>
          <w:rStyle w:val="FootnoteReference"/>
          <w:rFonts w:cs="Arial"/>
          <w:szCs w:val="24"/>
        </w:rPr>
        <w:t xml:space="preserve"> </w:t>
      </w:r>
      <w:r w:rsidRPr="00211230">
        <w:rPr>
          <w:rFonts w:ascii="Arial" w:hAnsi="Arial" w:cs="Arial"/>
          <w:szCs w:val="24"/>
        </w:rPr>
        <w:t xml:space="preserve">House of Commons </w:t>
      </w:r>
      <w:r w:rsidRPr="00211230">
        <w:rPr>
          <w:rFonts w:ascii="Arial" w:hAnsi="Arial" w:cs="Arial"/>
          <w:szCs w:val="24"/>
          <w:u w:color="009C98" w:themeColor="accent1"/>
        </w:rPr>
        <w:t xml:space="preserve">Women and Equalities Committee (24 June 2020), </w:t>
      </w:r>
      <w:hyperlink r:id="rId86" w:history="1">
        <w:r w:rsidRPr="00211230">
          <w:rPr>
            <w:rStyle w:val="Hyperlink"/>
            <w:rFonts w:ascii="Arial" w:hAnsi="Arial" w:cs="Arial"/>
            <w:color w:val="0B4E60" w:themeColor="text2"/>
            <w:szCs w:val="24"/>
          </w:rPr>
          <w:t>Oral evidence: Unequal impact? Coronavirus, disability and access to services</w:t>
        </w:r>
      </w:hyperlink>
      <w:r w:rsidRPr="00211230">
        <w:rPr>
          <w:rFonts w:ascii="Arial" w:hAnsi="Arial" w:cs="Arial"/>
          <w:szCs w:val="24"/>
          <w:u w:color="009C98" w:themeColor="accent1"/>
        </w:rPr>
        <w:t xml:space="preserve"> [accessed 6 May 2021].</w:t>
      </w:r>
    </w:p>
    <w:p w14:paraId="0EA49EC5" w14:textId="77777777" w:rsidR="00E27CF0" w:rsidRPr="000C0843" w:rsidRDefault="00E27CF0" w:rsidP="00E27CF0">
      <w:pPr>
        <w:pStyle w:val="FootnoteText"/>
        <w:spacing w:after="60"/>
        <w:rPr>
          <w:rFonts w:cs="Arial"/>
          <w:szCs w:val="24"/>
        </w:rPr>
      </w:pPr>
    </w:p>
  </w:footnote>
  <w:footnote w:id="79">
    <w:p w14:paraId="1BB55BEE" w14:textId="3281E48E" w:rsidR="00193935" w:rsidRPr="000C0843" w:rsidRDefault="00193935" w:rsidP="00493DD7">
      <w:pPr>
        <w:pStyle w:val="FootnoteText"/>
        <w:rPr>
          <w:rFonts w:cs="Arial"/>
          <w:szCs w:val="24"/>
        </w:rPr>
      </w:pPr>
      <w:r w:rsidRPr="00211230">
        <w:rPr>
          <w:rStyle w:val="FootnoteReference"/>
          <w:rFonts w:cs="Arial"/>
          <w:szCs w:val="24"/>
        </w:rPr>
        <w:footnoteRef/>
      </w:r>
      <w:r w:rsidRPr="00211230">
        <w:rPr>
          <w:rFonts w:cs="Arial"/>
          <w:szCs w:val="24"/>
        </w:rPr>
        <w:t xml:space="preserve"> Association of Directors of Adult Social Services (ADASS), </w:t>
      </w:r>
      <w:hyperlink r:id="rId87" w:history="1">
        <w:r w:rsidRPr="00211230">
          <w:rPr>
            <w:rStyle w:val="Hyperlink"/>
            <w:rFonts w:cs="Arial"/>
            <w:color w:val="0B4E60" w:themeColor="text2"/>
            <w:szCs w:val="24"/>
          </w:rPr>
          <w:t>ADASS Autumn Survey 2020</w:t>
        </w:r>
      </w:hyperlink>
      <w:r w:rsidRPr="00211230">
        <w:rPr>
          <w:rFonts w:cs="Arial"/>
          <w:szCs w:val="24"/>
        </w:rPr>
        <w:t>, page 6 [accessed 6 May 2021]</w:t>
      </w:r>
    </w:p>
  </w:footnote>
  <w:footnote w:id="80">
    <w:p w14:paraId="17947C99" w14:textId="136ABD93" w:rsidR="00193935" w:rsidRPr="000C0843" w:rsidRDefault="00193935" w:rsidP="00493DD7">
      <w:pPr>
        <w:pStyle w:val="FootnoteText"/>
        <w:rPr>
          <w:rFonts w:cs="Arial"/>
          <w:szCs w:val="24"/>
        </w:rPr>
      </w:pPr>
      <w:r w:rsidRPr="000C0843">
        <w:rPr>
          <w:rStyle w:val="FootnoteReference"/>
          <w:rFonts w:cs="Arial"/>
          <w:szCs w:val="24"/>
        </w:rPr>
        <w:footnoteRef/>
      </w:r>
      <w:r w:rsidRPr="000C0843">
        <w:rPr>
          <w:rFonts w:cs="Arial"/>
          <w:szCs w:val="24"/>
        </w:rPr>
        <w:t xml:space="preserve"> Ibid., p</w:t>
      </w:r>
      <w:r>
        <w:rPr>
          <w:rFonts w:cs="Arial"/>
          <w:szCs w:val="24"/>
        </w:rPr>
        <w:t>age</w:t>
      </w:r>
      <w:r w:rsidRPr="000C0843">
        <w:rPr>
          <w:rFonts w:cs="Arial"/>
          <w:szCs w:val="24"/>
        </w:rPr>
        <w:t xml:space="preserve"> 6 and </w:t>
      </w:r>
      <w:r>
        <w:rPr>
          <w:rFonts w:cs="Arial"/>
          <w:szCs w:val="24"/>
        </w:rPr>
        <w:t xml:space="preserve">page </w:t>
      </w:r>
      <w:r w:rsidRPr="000C0843">
        <w:rPr>
          <w:rFonts w:cs="Arial"/>
          <w:szCs w:val="24"/>
        </w:rPr>
        <w:t xml:space="preserve">12. </w:t>
      </w:r>
    </w:p>
  </w:footnote>
  <w:footnote w:id="81">
    <w:p w14:paraId="367CC9D5" w14:textId="7D1CF904" w:rsidR="00193935" w:rsidRPr="00211230" w:rsidRDefault="00193935" w:rsidP="00493DD7">
      <w:pPr>
        <w:pStyle w:val="FootnoteText"/>
        <w:contextualSpacing/>
        <w:rPr>
          <w:rFonts w:cs="Arial"/>
          <w:szCs w:val="24"/>
        </w:rPr>
      </w:pPr>
      <w:r w:rsidRPr="00211230">
        <w:rPr>
          <w:rStyle w:val="FootnoteReference"/>
          <w:rFonts w:cs="Arial"/>
          <w:szCs w:val="24"/>
        </w:rPr>
        <w:footnoteRef/>
      </w:r>
      <w:r w:rsidRPr="00211230">
        <w:rPr>
          <w:rFonts w:cs="Arial"/>
          <w:szCs w:val="24"/>
        </w:rPr>
        <w:t xml:space="preserve"> Samuel, M. (2020), </w:t>
      </w:r>
      <w:hyperlink r:id="rId88" w:history="1">
        <w:r w:rsidRPr="00211230">
          <w:rPr>
            <w:rStyle w:val="Hyperlink"/>
            <w:rFonts w:cs="Arial"/>
            <w:color w:val="0B4E60" w:themeColor="text2"/>
            <w:szCs w:val="24"/>
          </w:rPr>
          <w:t>Coronavirus legislation becomes law, allowing ministers to suspend key Care Act duties</w:t>
        </w:r>
      </w:hyperlink>
      <w:r w:rsidRPr="00211230">
        <w:rPr>
          <w:rFonts w:cs="Arial"/>
          <w:szCs w:val="24"/>
        </w:rPr>
        <w:t xml:space="preserve">, Community Care, 22 March [accessed 6 May 2021] ; Schwehr, B. (2020), </w:t>
      </w:r>
      <w:hyperlink r:id="rId89" w:history="1">
        <w:r w:rsidRPr="00211230">
          <w:rPr>
            <w:rStyle w:val="Hyperlink"/>
            <w:rFonts w:cs="Arial"/>
            <w:color w:val="0B4E60" w:themeColor="text2"/>
            <w:szCs w:val="24"/>
          </w:rPr>
          <w:t>The Coronavirus Act and its impact on the Care Act</w:t>
        </w:r>
      </w:hyperlink>
      <w:r w:rsidRPr="00211230">
        <w:rPr>
          <w:rFonts w:cs="Arial"/>
          <w:szCs w:val="24"/>
        </w:rPr>
        <w:t xml:space="preserve">, CASCAIDr, 20 March [accessed 6 May 2021]; Inclusion London (June 2020), </w:t>
      </w:r>
      <w:hyperlink r:id="rId90" w:history="1">
        <w:r w:rsidRPr="00211230">
          <w:rPr>
            <w:rStyle w:val="Hyperlink"/>
            <w:rFonts w:cs="Arial"/>
            <w:color w:val="0B4E60" w:themeColor="text2"/>
            <w:szCs w:val="24"/>
          </w:rPr>
          <w:t>Abandoned, forgotten and ignored: the impact of the coronavirus on disabled people: interim report</w:t>
        </w:r>
      </w:hyperlink>
      <w:r w:rsidRPr="00211230">
        <w:rPr>
          <w:rFonts w:cs="Arial"/>
          <w:szCs w:val="24"/>
        </w:rPr>
        <w:t xml:space="preserve"> [accessed 6 May 2021].</w:t>
      </w:r>
    </w:p>
    <w:p w14:paraId="19274536" w14:textId="77777777" w:rsidR="00193935" w:rsidRPr="00211230" w:rsidRDefault="00193935" w:rsidP="00493DD7">
      <w:pPr>
        <w:pStyle w:val="FootnoteText"/>
        <w:contextualSpacing/>
        <w:rPr>
          <w:rFonts w:cs="Arial"/>
          <w:szCs w:val="24"/>
        </w:rPr>
      </w:pPr>
    </w:p>
  </w:footnote>
  <w:footnote w:id="82">
    <w:p w14:paraId="6C57B875" w14:textId="1D0F530E" w:rsidR="00193935" w:rsidRPr="000C0843" w:rsidRDefault="00193935" w:rsidP="00493DD7">
      <w:pPr>
        <w:pStyle w:val="FootnoteText"/>
        <w:contextualSpacing/>
        <w:rPr>
          <w:rFonts w:cs="Arial"/>
          <w:szCs w:val="24"/>
        </w:rPr>
      </w:pPr>
      <w:r w:rsidRPr="00211230">
        <w:rPr>
          <w:rStyle w:val="FootnoteReference"/>
          <w:rFonts w:cs="Arial"/>
          <w:szCs w:val="24"/>
        </w:rPr>
        <w:footnoteRef/>
      </w:r>
      <w:r w:rsidRPr="00211230">
        <w:rPr>
          <w:rFonts w:cs="Arial"/>
          <w:szCs w:val="24"/>
        </w:rPr>
        <w:t xml:space="preserve"> Hill, A. (2020), </w:t>
      </w:r>
      <w:hyperlink r:id="rId91" w:history="1">
        <w:r w:rsidRPr="00211230">
          <w:rPr>
            <w:rStyle w:val="Hyperlink"/>
            <w:rFonts w:cs="Arial"/>
            <w:color w:val="0B4E60" w:themeColor="text2"/>
            <w:szCs w:val="24"/>
          </w:rPr>
          <w:t>Coronavirus: 4.5m people in UK forced to become unpaid carers</w:t>
        </w:r>
      </w:hyperlink>
      <w:r w:rsidRPr="00211230">
        <w:rPr>
          <w:rFonts w:cs="Arial"/>
          <w:szCs w:val="24"/>
        </w:rPr>
        <w:t xml:space="preserve">, The Guardian, 19 June [accessed 6 May 2021]; Women’s Budget Group (16 April 2020), </w:t>
      </w:r>
      <w:hyperlink r:id="rId92" w:history="1">
        <w:r w:rsidRPr="00211230">
          <w:rPr>
            <w:rStyle w:val="Hyperlink"/>
            <w:rFonts w:cs="Arial"/>
            <w:color w:val="0B4E60" w:themeColor="text2"/>
            <w:szCs w:val="24"/>
          </w:rPr>
          <w:t>Social care and COVID-19</w:t>
        </w:r>
      </w:hyperlink>
      <w:r w:rsidRPr="00211230">
        <w:rPr>
          <w:rFonts w:cs="Arial"/>
          <w:szCs w:val="24"/>
        </w:rPr>
        <w:t xml:space="preserve"> [accessed 6 May 2021] </w:t>
      </w:r>
    </w:p>
  </w:footnote>
  <w:footnote w:id="83">
    <w:p w14:paraId="5273E957" w14:textId="4AB4A8AC" w:rsidR="00193935" w:rsidRPr="000C0843" w:rsidRDefault="00193935" w:rsidP="00493DD7">
      <w:pPr>
        <w:pStyle w:val="FootnoteText"/>
        <w:rPr>
          <w:rFonts w:cs="Arial"/>
          <w:szCs w:val="24"/>
        </w:rPr>
      </w:pPr>
      <w:r w:rsidRPr="00211230">
        <w:rPr>
          <w:rStyle w:val="FootnoteReference"/>
          <w:rFonts w:cs="Arial"/>
          <w:szCs w:val="24"/>
        </w:rPr>
        <w:footnoteRef/>
      </w:r>
      <w:r w:rsidRPr="00211230">
        <w:rPr>
          <w:rFonts w:cs="Arial"/>
          <w:szCs w:val="24"/>
        </w:rPr>
        <w:t xml:space="preserve"> House of Commons Women and Equalities</w:t>
      </w:r>
      <w:r>
        <w:rPr>
          <w:rFonts w:cs="Arial"/>
          <w:szCs w:val="24"/>
        </w:rPr>
        <w:t xml:space="preserve"> Committee (22 December 2020), </w:t>
      </w:r>
      <w:hyperlink r:id="rId93" w:history="1">
        <w:r w:rsidRPr="00211230">
          <w:rPr>
            <w:rStyle w:val="Hyperlink"/>
            <w:rFonts w:cs="Arial"/>
            <w:color w:val="0B4E60" w:themeColor="text2"/>
            <w:szCs w:val="24"/>
          </w:rPr>
          <w:t>Unequal Impact? Coronavirus, disability and access to services: full report: fourth report of session 2019-2021</w:t>
        </w:r>
      </w:hyperlink>
      <w:r>
        <w:rPr>
          <w:rFonts w:cs="Arial"/>
          <w:szCs w:val="24"/>
        </w:rPr>
        <w:t>, pages</w:t>
      </w:r>
      <w:r w:rsidRPr="00211230">
        <w:rPr>
          <w:rFonts w:cs="Arial"/>
          <w:szCs w:val="24"/>
        </w:rPr>
        <w:t xml:space="preserve"> 27</w:t>
      </w:r>
      <w:r>
        <w:rPr>
          <w:rFonts w:cs="Arial"/>
          <w:szCs w:val="24"/>
        </w:rPr>
        <w:t xml:space="preserve"> and </w:t>
      </w:r>
      <w:r w:rsidRPr="00211230">
        <w:rPr>
          <w:rFonts w:cs="Arial"/>
          <w:szCs w:val="24"/>
        </w:rPr>
        <w:t>28</w:t>
      </w:r>
      <w:r>
        <w:rPr>
          <w:rFonts w:cs="Arial"/>
          <w:szCs w:val="24"/>
        </w:rPr>
        <w:t xml:space="preserve"> [accessed 6 May 2021]</w:t>
      </w:r>
      <w:r w:rsidRPr="00211230">
        <w:rPr>
          <w:rFonts w:cs="Arial"/>
          <w:szCs w:val="24"/>
        </w:rPr>
        <w:t>; Health and Social Care Select Committee (22 October 2020), ‘</w:t>
      </w:r>
      <w:hyperlink r:id="rId94" w:history="1">
        <w:r w:rsidRPr="00211230">
          <w:rPr>
            <w:rStyle w:val="Hyperlink"/>
            <w:rFonts w:cs="Arial"/>
            <w:color w:val="0B4E60" w:themeColor="text2"/>
            <w:szCs w:val="24"/>
          </w:rPr>
          <w:t>Social Care: funding and workforce: third report of session 2019-2021</w:t>
        </w:r>
      </w:hyperlink>
      <w:r w:rsidRPr="00211230">
        <w:rPr>
          <w:rFonts w:cs="Arial"/>
          <w:szCs w:val="24"/>
        </w:rPr>
        <w:t>’,</w:t>
      </w:r>
      <w:r>
        <w:rPr>
          <w:rFonts w:cs="Arial"/>
          <w:szCs w:val="24"/>
        </w:rPr>
        <w:t xml:space="preserve"> page 33 [accessed 6 May 2021].</w:t>
      </w:r>
    </w:p>
  </w:footnote>
  <w:footnote w:id="84">
    <w:p w14:paraId="43CBA0B9" w14:textId="0FAA680A" w:rsidR="00193935" w:rsidRPr="000C0843" w:rsidRDefault="00193935" w:rsidP="00493DD7">
      <w:pPr>
        <w:pStyle w:val="FootnoteText"/>
        <w:rPr>
          <w:szCs w:val="24"/>
        </w:rPr>
      </w:pPr>
      <w:r w:rsidRPr="00211230">
        <w:rPr>
          <w:rStyle w:val="FootnoteReference"/>
          <w:szCs w:val="24"/>
        </w:rPr>
        <w:footnoteRef/>
      </w:r>
      <w:r w:rsidRPr="00211230">
        <w:rPr>
          <w:szCs w:val="24"/>
        </w:rPr>
        <w:t xml:space="preserve"> House of Commons </w:t>
      </w:r>
      <w:r w:rsidRPr="00211230">
        <w:rPr>
          <w:rFonts w:cs="Arial"/>
          <w:szCs w:val="24"/>
        </w:rPr>
        <w:t>Women and Equalities Committee (22 December 2020), ‘</w:t>
      </w:r>
      <w:hyperlink r:id="rId95" w:history="1">
        <w:r w:rsidRPr="00211230">
          <w:rPr>
            <w:rStyle w:val="Hyperlink"/>
            <w:rFonts w:cs="Arial"/>
            <w:color w:val="0B4E60" w:themeColor="text2"/>
            <w:szCs w:val="24"/>
          </w:rPr>
          <w:t>Unequal Impact? Coronavirus, disability and access to services: full report: fourth report of session 2019-2021</w:t>
        </w:r>
      </w:hyperlink>
      <w:r w:rsidRPr="00211230">
        <w:rPr>
          <w:rFonts w:cs="Arial"/>
          <w:szCs w:val="24"/>
        </w:rPr>
        <w:t>’, page 27, paragraph</w:t>
      </w:r>
      <w:r>
        <w:rPr>
          <w:rFonts w:cs="Arial"/>
          <w:szCs w:val="24"/>
        </w:rPr>
        <w:t xml:space="preserve"> 85 [accessed 6 May 2021]</w:t>
      </w:r>
    </w:p>
  </w:footnote>
  <w:footnote w:id="85">
    <w:p w14:paraId="544EFCF6" w14:textId="1BE1F33F" w:rsidR="00193935" w:rsidRPr="000C0843" w:rsidRDefault="00193935" w:rsidP="00493DD7">
      <w:pPr>
        <w:pStyle w:val="FootnoteText"/>
        <w:rPr>
          <w:szCs w:val="24"/>
        </w:rPr>
      </w:pPr>
      <w:r w:rsidRPr="00211230">
        <w:rPr>
          <w:rStyle w:val="FootnoteReference"/>
          <w:szCs w:val="24"/>
        </w:rPr>
        <w:footnoteRef/>
      </w:r>
      <w:r w:rsidRPr="00211230">
        <w:rPr>
          <w:szCs w:val="24"/>
        </w:rPr>
        <w:t xml:space="preserve"> Equality and Human Rights Commission (2020), </w:t>
      </w:r>
      <w:hyperlink r:id="rId96" w:history="1">
        <w:r w:rsidRPr="00211230">
          <w:rPr>
            <w:rStyle w:val="Hyperlink"/>
            <w:rFonts w:cs="Arial"/>
            <w:color w:val="0B4E60" w:themeColor="text2"/>
            <w:szCs w:val="24"/>
            <w:shd w:val="clear" w:color="auto" w:fill="FFFFFF"/>
          </w:rPr>
          <w:t>Equality and human rights in residential care in England during coronavirus</w:t>
        </w:r>
      </w:hyperlink>
      <w:r w:rsidRPr="00211230">
        <w:rPr>
          <w:rStyle w:val="Hyperlink"/>
          <w:rFonts w:cs="Arial"/>
          <w:color w:val="0B4E60" w:themeColor="text2"/>
          <w:szCs w:val="24"/>
          <w:u w:val="none"/>
          <w:shd w:val="clear" w:color="auto" w:fill="FFFFFF"/>
        </w:rPr>
        <w:t xml:space="preserve"> [accessed 6 May 2021]</w:t>
      </w:r>
      <w:r>
        <w:rPr>
          <w:rStyle w:val="Hyperlink"/>
          <w:rFonts w:cs="Arial"/>
          <w:color w:val="0B4E60" w:themeColor="text2"/>
          <w:szCs w:val="24"/>
          <w:u w:val="none"/>
          <w:shd w:val="clear" w:color="auto" w:fill="FFFFFF"/>
        </w:rPr>
        <w:t>.</w:t>
      </w:r>
    </w:p>
  </w:footnote>
  <w:footnote w:id="86">
    <w:p w14:paraId="754B4A8C" w14:textId="2C175221" w:rsidR="00193935" w:rsidRPr="000C0843" w:rsidRDefault="00193935" w:rsidP="00493DD7">
      <w:pPr>
        <w:pStyle w:val="FootnoteText"/>
        <w:spacing w:line="259" w:lineRule="auto"/>
        <w:rPr>
          <w:szCs w:val="24"/>
        </w:rPr>
      </w:pPr>
      <w:r w:rsidRPr="000C0843">
        <w:rPr>
          <w:rStyle w:val="FootnoteReference"/>
          <w:szCs w:val="24"/>
        </w:rPr>
        <w:footnoteRef/>
      </w:r>
      <w:r w:rsidRPr="000C0843">
        <w:rPr>
          <w:szCs w:val="24"/>
        </w:rPr>
        <w:t xml:space="preserve"> Ibid</w:t>
      </w:r>
      <w:r>
        <w:rPr>
          <w:szCs w:val="24"/>
        </w:rPr>
        <w:t>.</w:t>
      </w:r>
    </w:p>
  </w:footnote>
  <w:footnote w:id="87">
    <w:p w14:paraId="6477CD40" w14:textId="17E09009" w:rsidR="00193935" w:rsidRPr="000C0843" w:rsidRDefault="00193935" w:rsidP="00493DD7">
      <w:pPr>
        <w:pStyle w:val="FootnoteText"/>
        <w:rPr>
          <w:szCs w:val="24"/>
        </w:rPr>
      </w:pPr>
      <w:r w:rsidRPr="00211230">
        <w:rPr>
          <w:rStyle w:val="FootnoteReference"/>
          <w:rFonts w:ascii="Arial" w:hAnsi="Arial" w:cs="Arial"/>
          <w:szCs w:val="24"/>
        </w:rPr>
        <w:footnoteRef/>
      </w:r>
      <w:r w:rsidRPr="00211230">
        <w:rPr>
          <w:szCs w:val="24"/>
        </w:rPr>
        <w:t xml:space="preserve"> Ibid. See also: </w:t>
      </w:r>
      <w:r w:rsidRPr="00211230">
        <w:rPr>
          <w:szCs w:val="24"/>
          <w:u w:color="009C98" w:themeColor="accent1"/>
        </w:rPr>
        <w:t xml:space="preserve">Healthwatch (21 December 2020), </w:t>
      </w:r>
      <w:hyperlink r:id="rId97" w:history="1">
        <w:r w:rsidRPr="00211230">
          <w:rPr>
            <w:rStyle w:val="Hyperlink"/>
            <w:color w:val="0B4E60" w:themeColor="text2"/>
            <w:szCs w:val="24"/>
          </w:rPr>
          <w:t>Call for better guidance on care home visits: Read our letter to Government</w:t>
        </w:r>
      </w:hyperlink>
      <w:r w:rsidRPr="00211230">
        <w:rPr>
          <w:szCs w:val="24"/>
          <w:u w:color="009C98" w:themeColor="accent1"/>
        </w:rPr>
        <w:t xml:space="preserve"> [accessed 8 March 2021].</w:t>
      </w:r>
    </w:p>
  </w:footnote>
  <w:footnote w:id="88">
    <w:p w14:paraId="11AFF745" w14:textId="620C700D" w:rsidR="00193935" w:rsidRPr="000C0843" w:rsidRDefault="00193935" w:rsidP="00493DD7">
      <w:pPr>
        <w:pStyle w:val="FootnoteText"/>
        <w:spacing w:line="259" w:lineRule="auto"/>
        <w:rPr>
          <w:szCs w:val="24"/>
        </w:rPr>
      </w:pPr>
      <w:r w:rsidRPr="000C0843">
        <w:rPr>
          <w:rStyle w:val="FootnoteReference"/>
          <w:szCs w:val="24"/>
        </w:rPr>
        <w:footnoteRef/>
      </w:r>
      <w:r w:rsidRPr="000C0843">
        <w:rPr>
          <w:szCs w:val="24"/>
        </w:rPr>
        <w:t xml:space="preserve"> Ibid</w:t>
      </w:r>
      <w:r>
        <w:rPr>
          <w:szCs w:val="24"/>
        </w:rPr>
        <w:t>.</w:t>
      </w:r>
    </w:p>
  </w:footnote>
  <w:footnote w:id="89">
    <w:p w14:paraId="01BC654D" w14:textId="5C17F232" w:rsidR="00193935" w:rsidRPr="00D72A35" w:rsidRDefault="00193935" w:rsidP="006C1E0B">
      <w:pPr>
        <w:rPr>
          <w:rFonts w:cs="Arial"/>
          <w:sz w:val="20"/>
        </w:rPr>
      </w:pPr>
      <w:r w:rsidRPr="00EF5BEB">
        <w:rPr>
          <w:rStyle w:val="FootnoteReference"/>
          <w:rFonts w:cs="Arial"/>
          <w:color w:val="0B4E60" w:themeColor="text2"/>
          <w:szCs w:val="24"/>
        </w:rPr>
        <w:footnoteRef/>
      </w:r>
      <w:r w:rsidRPr="00EF5BEB">
        <w:rPr>
          <w:rFonts w:cs="Arial"/>
          <w:color w:val="0B4E60" w:themeColor="text2"/>
          <w:szCs w:val="24"/>
        </w:rPr>
        <w:t xml:space="preserve"> </w:t>
      </w:r>
      <w:bookmarkStart w:id="51" w:name="_Hlk66716126"/>
      <w:r w:rsidRPr="00EF5BEB">
        <w:rPr>
          <w:rFonts w:cs="Arial"/>
          <w:color w:val="0B4E60" w:themeColor="text2"/>
          <w:szCs w:val="24"/>
        </w:rPr>
        <w:t xml:space="preserve">UN </w:t>
      </w:r>
      <w:hyperlink r:id="rId98" w:history="1">
        <w:r w:rsidRPr="00EF5BEB">
          <w:rPr>
            <w:rStyle w:val="Hyperlink"/>
            <w:rFonts w:ascii="Arial" w:hAnsi="Arial" w:cs="Arial"/>
            <w:color w:val="0B4E60" w:themeColor="text2"/>
            <w:szCs w:val="24"/>
            <w:u w:val="none"/>
          </w:rPr>
          <w:t>Committee on the Rights of Persons with Disabilities (2017),</w:t>
        </w:r>
        <w:r w:rsidRPr="00EF5BEB">
          <w:rPr>
            <w:rStyle w:val="Hyperlink"/>
            <w:rFonts w:ascii="Arial" w:hAnsi="Arial" w:cs="Arial"/>
            <w:color w:val="0B4E60" w:themeColor="text2"/>
            <w:szCs w:val="24"/>
          </w:rPr>
          <w:t xml:space="preserve"> General comment No. 5 (2017) on living independently and being included in the community</w:t>
        </w:r>
        <w:r w:rsidR="00EF5BEB" w:rsidRPr="00EF5BEB">
          <w:rPr>
            <w:rStyle w:val="Hyperlink"/>
            <w:rFonts w:ascii="Arial" w:hAnsi="Arial" w:cs="Arial"/>
            <w:color w:val="0B4E60" w:themeColor="text2"/>
            <w:szCs w:val="24"/>
            <w:u w:val="none"/>
          </w:rPr>
          <w:t xml:space="preserve"> [accessed 6 May 2020]</w:t>
        </w:r>
        <w:r w:rsidRPr="00EF5BEB">
          <w:rPr>
            <w:rStyle w:val="Hyperlink"/>
            <w:rFonts w:ascii="Arial" w:hAnsi="Arial" w:cs="Arial"/>
            <w:color w:val="0B4E60" w:themeColor="text2"/>
            <w:szCs w:val="24"/>
            <w:u w:val="none"/>
          </w:rPr>
          <w:t>.</w:t>
        </w:r>
      </w:hyperlink>
      <w:r w:rsidRPr="00EF5BEB">
        <w:rPr>
          <w:rFonts w:ascii="Arial" w:hAnsi="Arial" w:cs="Arial"/>
          <w:color w:val="0B4E60" w:themeColor="text2"/>
          <w:szCs w:val="24"/>
        </w:rPr>
        <w:t xml:space="preserve"> </w:t>
      </w:r>
      <w:bookmarkEnd w:id="51"/>
    </w:p>
  </w:footnote>
  <w:footnote w:id="90">
    <w:p w14:paraId="6AF32657" w14:textId="0024485A" w:rsidR="00193935" w:rsidRPr="000C0843" w:rsidRDefault="00193935" w:rsidP="00D72A35">
      <w:pPr>
        <w:pStyle w:val="FootnoteText"/>
        <w:rPr>
          <w:rFonts w:cs="Arial"/>
          <w:szCs w:val="24"/>
        </w:rPr>
      </w:pPr>
      <w:r w:rsidRPr="000C0843">
        <w:rPr>
          <w:rStyle w:val="FootnoteReference"/>
          <w:rFonts w:cs="Arial"/>
          <w:szCs w:val="24"/>
        </w:rPr>
        <w:footnoteRef/>
      </w:r>
      <w:r w:rsidRPr="000C0843">
        <w:rPr>
          <w:rFonts w:cs="Arial"/>
          <w:szCs w:val="24"/>
        </w:rPr>
        <w:t xml:space="preserve"> </w:t>
      </w:r>
      <w:r>
        <w:rPr>
          <w:rFonts w:cs="Arial"/>
          <w:szCs w:val="24"/>
        </w:rPr>
        <w:t>Ibid.</w:t>
      </w:r>
    </w:p>
  </w:footnote>
  <w:footnote w:id="91">
    <w:p w14:paraId="0D12C7ED" w14:textId="1E5D5149" w:rsidR="00193935" w:rsidRPr="000C0843" w:rsidRDefault="00193935" w:rsidP="00D72A35">
      <w:pPr>
        <w:pStyle w:val="FootnoteText"/>
        <w:rPr>
          <w:rFonts w:cs="Arial"/>
          <w:szCs w:val="24"/>
        </w:rPr>
      </w:pPr>
      <w:r w:rsidRPr="002B5B9C">
        <w:rPr>
          <w:rStyle w:val="FootnoteReference"/>
          <w:rFonts w:cs="Arial"/>
          <w:szCs w:val="24"/>
        </w:rPr>
        <w:footnoteRef/>
      </w:r>
      <w:r w:rsidRPr="002B5B9C">
        <w:rPr>
          <w:rFonts w:cs="Arial"/>
          <w:szCs w:val="24"/>
        </w:rPr>
        <w:t xml:space="preserve"> </w:t>
      </w:r>
      <w:hyperlink r:id="rId99" w:history="1">
        <w:r w:rsidRPr="002B5B9C">
          <w:rPr>
            <w:rStyle w:val="Hyperlink"/>
            <w:rFonts w:cs="Arial"/>
            <w:color w:val="0B4E60" w:themeColor="text2"/>
            <w:szCs w:val="24"/>
          </w:rPr>
          <w:t>Children and Families Act 2014</w:t>
        </w:r>
      </w:hyperlink>
      <w:r w:rsidRPr="002B5B9C">
        <w:rPr>
          <w:rStyle w:val="Hyperlink"/>
          <w:rFonts w:cs="Arial"/>
          <w:color w:val="0B4E60" w:themeColor="text2"/>
          <w:szCs w:val="24"/>
          <w:u w:val="none"/>
        </w:rPr>
        <w:t xml:space="preserve"> [accessed 6 May 2021]</w:t>
      </w:r>
    </w:p>
  </w:footnote>
  <w:footnote w:id="92">
    <w:p w14:paraId="3F180074" w14:textId="4B2BF510" w:rsidR="00193935" w:rsidRPr="002B5B9C" w:rsidRDefault="00193935" w:rsidP="00D72A35">
      <w:pPr>
        <w:pStyle w:val="FootnoteText"/>
        <w:rPr>
          <w:rFonts w:cs="Arial"/>
          <w:szCs w:val="24"/>
        </w:rPr>
      </w:pPr>
      <w:r w:rsidRPr="002B5B9C">
        <w:rPr>
          <w:rStyle w:val="FootnoteReference"/>
          <w:rFonts w:cs="Arial"/>
          <w:szCs w:val="24"/>
        </w:rPr>
        <w:footnoteRef/>
      </w:r>
      <w:r w:rsidRPr="002B5B9C">
        <w:rPr>
          <w:rFonts w:cs="Arial"/>
          <w:szCs w:val="24"/>
        </w:rPr>
        <w:t xml:space="preserve"> National Audit Office (2019), </w:t>
      </w:r>
      <w:hyperlink r:id="rId100" w:history="1">
        <w:r w:rsidRPr="002B5B9C">
          <w:rPr>
            <w:rStyle w:val="Hyperlink"/>
            <w:rFonts w:cs="Arial"/>
            <w:color w:val="0B4E60" w:themeColor="text2"/>
            <w:szCs w:val="24"/>
          </w:rPr>
          <w:t>Support for pupils with special educational needs and disabilities in England</w:t>
        </w:r>
      </w:hyperlink>
      <w:r w:rsidRPr="002B5B9C">
        <w:rPr>
          <w:rStyle w:val="Hyperlink"/>
          <w:rFonts w:cs="Arial"/>
          <w:color w:val="0B4E60" w:themeColor="text2"/>
          <w:szCs w:val="24"/>
        </w:rPr>
        <w:t xml:space="preserve"> [accessed 6 May 2021]</w:t>
      </w:r>
      <w:r w:rsidRPr="002B5B9C">
        <w:rPr>
          <w:rFonts w:cs="Arial"/>
          <w:szCs w:val="24"/>
        </w:rPr>
        <w:t xml:space="preserve">; Local Government &amp; Social Care Ombudsman (2019), </w:t>
      </w:r>
      <w:hyperlink r:id="rId101" w:history="1">
        <w:r w:rsidRPr="002B5B9C">
          <w:rPr>
            <w:rStyle w:val="Hyperlink"/>
            <w:rFonts w:cs="Arial"/>
            <w:color w:val="0B4E60" w:themeColor="text2"/>
            <w:szCs w:val="24"/>
          </w:rPr>
          <w:t>Not going to plan? Education, health and care plans two years on</w:t>
        </w:r>
      </w:hyperlink>
      <w:r w:rsidRPr="002B5B9C">
        <w:rPr>
          <w:rStyle w:val="Hyperlink"/>
          <w:rFonts w:cs="Arial"/>
          <w:color w:val="0B4E60" w:themeColor="text2"/>
          <w:szCs w:val="24"/>
          <w:u w:val="none"/>
        </w:rPr>
        <w:t xml:space="preserve"> [accessed 6 May 2021]</w:t>
      </w:r>
      <w:r w:rsidRPr="002B5B9C">
        <w:rPr>
          <w:rFonts w:cs="Arial"/>
          <w:szCs w:val="24"/>
        </w:rPr>
        <w:t xml:space="preserve">; House of Commons Public Accounts Committee (2020), </w:t>
      </w:r>
      <w:hyperlink r:id="rId102" w:history="1">
        <w:r w:rsidRPr="002B5B9C">
          <w:rPr>
            <w:rStyle w:val="Hyperlink"/>
            <w:rFonts w:cs="Arial"/>
            <w:color w:val="0B4E60" w:themeColor="text2"/>
            <w:szCs w:val="24"/>
          </w:rPr>
          <w:t>Support for children with special educational needs and disabilities</w:t>
        </w:r>
      </w:hyperlink>
      <w:r w:rsidRPr="002B5B9C">
        <w:rPr>
          <w:rFonts w:cs="Arial"/>
          <w:szCs w:val="24"/>
          <w:u w:color="009C98" w:themeColor="accent1"/>
        </w:rPr>
        <w:t xml:space="preserve"> [accessed 6 May 2021].</w:t>
      </w:r>
    </w:p>
  </w:footnote>
  <w:footnote w:id="93">
    <w:p w14:paraId="5FAFCFAA" w14:textId="44858FDF" w:rsidR="00193935" w:rsidRPr="000C0843" w:rsidRDefault="00193935" w:rsidP="00D72A35">
      <w:pPr>
        <w:pStyle w:val="FootnoteText"/>
        <w:rPr>
          <w:rFonts w:cs="Arial"/>
          <w:szCs w:val="24"/>
        </w:rPr>
      </w:pPr>
      <w:r w:rsidRPr="002B5B9C">
        <w:rPr>
          <w:rStyle w:val="FootnoteReference"/>
          <w:rFonts w:cs="Arial"/>
          <w:szCs w:val="24"/>
        </w:rPr>
        <w:footnoteRef/>
      </w:r>
      <w:r w:rsidRPr="002B5B9C">
        <w:rPr>
          <w:rFonts w:cs="Arial"/>
          <w:szCs w:val="24"/>
        </w:rPr>
        <w:t xml:space="preserve"> Office for National Statistics (ONS) (2019), </w:t>
      </w:r>
      <w:hyperlink r:id="rId103" w:anchor="main-points" w:history="1">
        <w:r w:rsidRPr="002B5B9C">
          <w:rPr>
            <w:rStyle w:val="Hyperlink"/>
            <w:rFonts w:cs="Arial"/>
            <w:color w:val="0B4E60" w:themeColor="text2"/>
            <w:szCs w:val="24"/>
          </w:rPr>
          <w:t>Disability and education, UK: 2019</w:t>
        </w:r>
      </w:hyperlink>
      <w:r>
        <w:rPr>
          <w:rFonts w:cs="Arial"/>
          <w:szCs w:val="24"/>
        </w:rPr>
        <w:t xml:space="preserve"> [accessed 6 May 2021].</w:t>
      </w:r>
    </w:p>
  </w:footnote>
  <w:footnote w:id="94">
    <w:p w14:paraId="0763A011" w14:textId="4937161E" w:rsidR="00193935" w:rsidRPr="000C0843" w:rsidRDefault="00193935" w:rsidP="00D72A35">
      <w:pPr>
        <w:pStyle w:val="FootnoteText"/>
        <w:rPr>
          <w:rFonts w:cs="Arial"/>
          <w:szCs w:val="24"/>
        </w:rPr>
      </w:pPr>
      <w:r w:rsidRPr="002B5B9C">
        <w:rPr>
          <w:rStyle w:val="FootnoteReference"/>
          <w:rFonts w:cs="Arial"/>
          <w:szCs w:val="24"/>
        </w:rPr>
        <w:footnoteRef/>
      </w:r>
      <w:r w:rsidRPr="002B5B9C">
        <w:rPr>
          <w:rFonts w:cs="Arial"/>
          <w:szCs w:val="24"/>
        </w:rPr>
        <w:t xml:space="preserve"> Department for Education (2020), </w:t>
      </w:r>
      <w:hyperlink r:id="rId104" w:history="1">
        <w:r w:rsidRPr="002B5B9C">
          <w:rPr>
            <w:rStyle w:val="Hyperlink"/>
            <w:rFonts w:cs="Arial"/>
            <w:color w:val="0B4E60" w:themeColor="text2"/>
            <w:szCs w:val="24"/>
          </w:rPr>
          <w:t>Permanent and fixed-period exclusions in England</w:t>
        </w:r>
      </w:hyperlink>
      <w:r w:rsidRPr="002B5B9C">
        <w:rPr>
          <w:rStyle w:val="Hyperlink"/>
          <w:rFonts w:cs="Arial"/>
          <w:color w:val="0B4E60" w:themeColor="text2"/>
          <w:szCs w:val="24"/>
        </w:rPr>
        <w:t>: 2018 to 2019</w:t>
      </w:r>
      <w:r w:rsidRPr="002B5B9C">
        <w:rPr>
          <w:rStyle w:val="Hyperlink"/>
          <w:rFonts w:cs="Arial"/>
          <w:color w:val="0B4E60" w:themeColor="text2"/>
          <w:szCs w:val="24"/>
          <w:u w:val="none"/>
        </w:rPr>
        <w:t xml:space="preserve"> [accessed 6 May 2021]</w:t>
      </w:r>
      <w:r w:rsidRPr="002B5B9C">
        <w:rPr>
          <w:rFonts w:cs="Arial"/>
          <w:szCs w:val="24"/>
        </w:rPr>
        <w:t xml:space="preserve">; Welsh Government (2020), </w:t>
      </w:r>
      <w:hyperlink r:id="rId105" w:history="1">
        <w:r w:rsidRPr="002B5B9C">
          <w:rPr>
            <w:rStyle w:val="Hyperlink"/>
            <w:color w:val="0B4E60" w:themeColor="text2"/>
            <w:szCs w:val="24"/>
          </w:rPr>
          <w:t>Permanent and fixed-term exclusions from schools: September 2018 to August 2019</w:t>
        </w:r>
      </w:hyperlink>
      <w:r>
        <w:rPr>
          <w:rStyle w:val="Hyperlink"/>
          <w:color w:val="0B4E60" w:themeColor="text2"/>
          <w:szCs w:val="24"/>
        </w:rPr>
        <w:t xml:space="preserve"> </w:t>
      </w:r>
      <w:r w:rsidRPr="002B5B9C">
        <w:rPr>
          <w:rStyle w:val="Hyperlink"/>
          <w:rFonts w:cs="Arial"/>
          <w:color w:val="0B4E60" w:themeColor="text2"/>
          <w:szCs w:val="24"/>
          <w:u w:val="none"/>
        </w:rPr>
        <w:t>[accessed 6 May 2021]</w:t>
      </w:r>
      <w:r>
        <w:rPr>
          <w:rFonts w:cs="Arial"/>
          <w:szCs w:val="24"/>
        </w:rPr>
        <w:t>.</w:t>
      </w:r>
    </w:p>
  </w:footnote>
  <w:footnote w:id="95">
    <w:p w14:paraId="36F1D27C" w14:textId="24C91F65" w:rsidR="00193935" w:rsidRPr="000C0843" w:rsidRDefault="00193935" w:rsidP="00D72A35">
      <w:pPr>
        <w:pStyle w:val="FootnoteText"/>
        <w:rPr>
          <w:rFonts w:cs="Arial"/>
          <w:szCs w:val="24"/>
        </w:rPr>
      </w:pPr>
      <w:r w:rsidRPr="000C0843">
        <w:rPr>
          <w:rStyle w:val="FootnoteReference"/>
          <w:rFonts w:cs="Arial"/>
          <w:szCs w:val="24"/>
        </w:rPr>
        <w:footnoteRef/>
      </w:r>
      <w:r w:rsidRPr="000C0843">
        <w:rPr>
          <w:rFonts w:cs="Arial"/>
          <w:szCs w:val="24"/>
        </w:rPr>
        <w:t xml:space="preserve"> </w:t>
      </w:r>
      <w:r w:rsidRPr="002B5B9C">
        <w:rPr>
          <w:rFonts w:cs="Arial"/>
          <w:szCs w:val="24"/>
        </w:rPr>
        <w:t xml:space="preserve">Department for Education (2020), </w:t>
      </w:r>
      <w:hyperlink r:id="rId106" w:history="1">
        <w:r w:rsidRPr="002B5B9C">
          <w:rPr>
            <w:rStyle w:val="Hyperlink"/>
            <w:rFonts w:cs="Arial"/>
            <w:color w:val="0B4E60" w:themeColor="text2"/>
            <w:szCs w:val="24"/>
          </w:rPr>
          <w:t>Special educational needs in England</w:t>
        </w:r>
      </w:hyperlink>
      <w:r>
        <w:rPr>
          <w:rStyle w:val="Hyperlink"/>
          <w:rFonts w:cs="Arial"/>
          <w:color w:val="0B4E60" w:themeColor="text2"/>
          <w:szCs w:val="24"/>
        </w:rPr>
        <w:t xml:space="preserve"> </w:t>
      </w:r>
      <w:r w:rsidRPr="002B5B9C">
        <w:rPr>
          <w:rFonts w:cs="Arial"/>
          <w:szCs w:val="24"/>
          <w:u w:color="009C98" w:themeColor="accent1"/>
        </w:rPr>
        <w:t>[accessed: 2 March 2021].</w:t>
      </w:r>
    </w:p>
  </w:footnote>
  <w:footnote w:id="96">
    <w:p w14:paraId="7624B9EF" w14:textId="2214784F" w:rsidR="00193935" w:rsidRPr="002B5B9C" w:rsidRDefault="00193935" w:rsidP="00D72A35">
      <w:pPr>
        <w:pStyle w:val="FootnoteText"/>
        <w:rPr>
          <w:szCs w:val="24"/>
        </w:rPr>
      </w:pPr>
      <w:r w:rsidRPr="002B5B9C">
        <w:rPr>
          <w:rStyle w:val="FootnoteReference"/>
          <w:szCs w:val="24"/>
        </w:rPr>
        <w:footnoteRef/>
      </w:r>
      <w:r w:rsidRPr="002B5B9C">
        <w:rPr>
          <w:szCs w:val="24"/>
        </w:rPr>
        <w:t xml:space="preserve"> </w:t>
      </w:r>
      <w:r w:rsidRPr="002B5B9C">
        <w:rPr>
          <w:rFonts w:cs="Arial"/>
          <w:szCs w:val="24"/>
        </w:rPr>
        <w:t xml:space="preserve">Department for Education (2020), </w:t>
      </w:r>
      <w:hyperlink r:id="rId107" w:history="1">
        <w:r w:rsidRPr="002B5B9C">
          <w:rPr>
            <w:rStyle w:val="Hyperlink"/>
            <w:rFonts w:cs="Arial"/>
            <w:color w:val="0B4E60" w:themeColor="text2"/>
            <w:szCs w:val="24"/>
          </w:rPr>
          <w:t>Press release: Thousands of places created in new special free schools</w:t>
        </w:r>
      </w:hyperlink>
      <w:r>
        <w:rPr>
          <w:rStyle w:val="Hyperlink"/>
          <w:rFonts w:cs="Arial"/>
          <w:color w:val="0B4E60" w:themeColor="text2"/>
          <w:szCs w:val="24"/>
        </w:rPr>
        <w:t xml:space="preserve"> </w:t>
      </w:r>
      <w:r w:rsidRPr="002B5B9C">
        <w:rPr>
          <w:rFonts w:cs="Arial"/>
          <w:szCs w:val="24"/>
          <w:u w:color="009C98" w:themeColor="accent1"/>
        </w:rPr>
        <w:t>[accessed: 2 March 2021].</w:t>
      </w:r>
    </w:p>
  </w:footnote>
  <w:footnote w:id="97">
    <w:p w14:paraId="79FDEC53" w14:textId="3F8F733E" w:rsidR="00193935" w:rsidRPr="000C0843" w:rsidRDefault="00193935" w:rsidP="00D72A35">
      <w:pPr>
        <w:pStyle w:val="FootnoteText"/>
        <w:rPr>
          <w:rFonts w:cs="Arial"/>
          <w:szCs w:val="24"/>
        </w:rPr>
      </w:pPr>
      <w:r w:rsidRPr="002B5B9C">
        <w:rPr>
          <w:rStyle w:val="FootnoteReference"/>
          <w:rFonts w:cs="Arial"/>
          <w:szCs w:val="24"/>
        </w:rPr>
        <w:footnoteRef/>
      </w:r>
      <w:r w:rsidRPr="002B5B9C">
        <w:rPr>
          <w:rFonts w:cs="Arial"/>
          <w:szCs w:val="24"/>
        </w:rPr>
        <w:t xml:space="preserve"> </w:t>
      </w:r>
      <w:bookmarkStart w:id="53" w:name="_Hlk66771987"/>
      <w:r w:rsidRPr="002B5B9C">
        <w:rPr>
          <w:rFonts w:cs="Arial"/>
          <w:szCs w:val="24"/>
          <w:u w:color="009C98" w:themeColor="accent1"/>
        </w:rPr>
        <w:t xml:space="preserve">Equality and Human Rights Commission (2020), </w:t>
      </w:r>
      <w:hyperlink r:id="rId108" w:history="1">
        <w:r w:rsidRPr="002B5B9C">
          <w:rPr>
            <w:rStyle w:val="Hyperlink"/>
            <w:rFonts w:cs="Arial"/>
            <w:color w:val="0B4E60" w:themeColor="text2"/>
            <w:szCs w:val="24"/>
          </w:rPr>
          <w:t>Inclusive education – UK Government assessment</w:t>
        </w:r>
      </w:hyperlink>
      <w:r w:rsidRPr="002B5B9C">
        <w:rPr>
          <w:rFonts w:cs="Arial"/>
          <w:szCs w:val="24"/>
          <w:u w:color="009C98" w:themeColor="accent1"/>
        </w:rPr>
        <w:t xml:space="preserve"> [accessed: 2 March 2021].</w:t>
      </w:r>
      <w:bookmarkEnd w:id="53"/>
    </w:p>
  </w:footnote>
  <w:footnote w:id="98">
    <w:p w14:paraId="1D601893" w14:textId="5C604B75" w:rsidR="00193935" w:rsidRPr="000C0843" w:rsidRDefault="00193935" w:rsidP="00D72A35">
      <w:pPr>
        <w:pStyle w:val="FootnoteText"/>
        <w:rPr>
          <w:rFonts w:cs="Arial"/>
          <w:szCs w:val="24"/>
        </w:rPr>
      </w:pPr>
      <w:r w:rsidRPr="002B5B9C">
        <w:rPr>
          <w:rStyle w:val="FootnoteReference"/>
          <w:rFonts w:cs="Arial"/>
          <w:szCs w:val="24"/>
        </w:rPr>
        <w:footnoteRef/>
      </w:r>
      <w:r w:rsidRPr="002B5B9C">
        <w:rPr>
          <w:rFonts w:cs="Arial"/>
          <w:szCs w:val="24"/>
        </w:rPr>
        <w:t xml:space="preserve"> Ofsted (2019), </w:t>
      </w:r>
      <w:hyperlink r:id="rId109" w:history="1">
        <w:r w:rsidRPr="002B5B9C">
          <w:rPr>
            <w:rStyle w:val="Hyperlink"/>
            <w:rFonts w:cs="Arial"/>
            <w:color w:val="0B4E60" w:themeColor="text2"/>
            <w:szCs w:val="24"/>
          </w:rPr>
          <w:t>Exploring moving to home education in secondary schools: research summary</w:t>
        </w:r>
        <w:r>
          <w:rPr>
            <w:rStyle w:val="Hyperlink"/>
            <w:rFonts w:cs="Arial"/>
            <w:color w:val="0B4E60" w:themeColor="text2"/>
            <w:szCs w:val="24"/>
          </w:rPr>
          <w:t xml:space="preserve"> </w:t>
        </w:r>
        <w:r>
          <w:rPr>
            <w:rFonts w:cs="Arial"/>
            <w:szCs w:val="24"/>
            <w:u w:color="009C98" w:themeColor="accent1"/>
          </w:rPr>
          <w:t>[accessed: 2 March 2021]</w:t>
        </w:r>
        <w:r w:rsidRPr="002B5B9C">
          <w:rPr>
            <w:rStyle w:val="Hyperlink"/>
            <w:rFonts w:cs="Arial"/>
            <w:color w:val="0B4E60" w:themeColor="text2"/>
            <w:szCs w:val="24"/>
            <w:u w:val="none"/>
          </w:rPr>
          <w:t>;</w:t>
        </w:r>
      </w:hyperlink>
      <w:r w:rsidRPr="002B5B9C">
        <w:rPr>
          <w:rFonts w:cs="Arial"/>
          <w:szCs w:val="24"/>
        </w:rPr>
        <w:t xml:space="preserve"> House of Commons Education Committee (16 October 2019), </w:t>
      </w:r>
      <w:hyperlink r:id="rId110" w:history="1">
        <w:r w:rsidRPr="002B5B9C">
          <w:rPr>
            <w:rStyle w:val="Hyperlink"/>
            <w:rFonts w:cs="Arial"/>
            <w:color w:val="0B4E60" w:themeColor="text2"/>
            <w:szCs w:val="24"/>
          </w:rPr>
          <w:t>Special educational needs and disabilities</w:t>
        </w:r>
      </w:hyperlink>
      <w:r w:rsidRPr="002B5B9C">
        <w:rPr>
          <w:rFonts w:cs="Arial"/>
          <w:szCs w:val="24"/>
        </w:rPr>
        <w:t xml:space="preserve"> paragraphs</w:t>
      </w:r>
      <w:r>
        <w:rPr>
          <w:rFonts w:cs="Arial"/>
          <w:szCs w:val="24"/>
        </w:rPr>
        <w:t xml:space="preserve"> 14 and 125 </w:t>
      </w:r>
      <w:r w:rsidRPr="002B5B9C">
        <w:rPr>
          <w:rFonts w:cs="Arial"/>
          <w:szCs w:val="24"/>
          <w:u w:color="009C98" w:themeColor="accent1"/>
        </w:rPr>
        <w:t>[accessed: 2 March 2021].</w:t>
      </w:r>
    </w:p>
  </w:footnote>
  <w:footnote w:id="99">
    <w:p w14:paraId="0A9B92F3" w14:textId="66FF1D30" w:rsidR="00193935" w:rsidRPr="001A78AA" w:rsidRDefault="00193935" w:rsidP="00D72A35">
      <w:pPr>
        <w:pStyle w:val="FootnoteText"/>
        <w:rPr>
          <w:rFonts w:cs="Arial"/>
        </w:rPr>
      </w:pPr>
      <w:r w:rsidRPr="002B5B9C">
        <w:rPr>
          <w:rStyle w:val="FootnoteReference"/>
          <w:rFonts w:cs="Arial"/>
          <w:szCs w:val="24"/>
        </w:rPr>
        <w:footnoteRef/>
      </w:r>
      <w:r w:rsidRPr="002B5B9C">
        <w:rPr>
          <w:rFonts w:cs="Arial"/>
          <w:szCs w:val="24"/>
        </w:rPr>
        <w:t xml:space="preserve"> UN Committee on the Rights of Persons with Disabilities (2016), </w:t>
      </w:r>
      <w:hyperlink r:id="rId111" w:history="1">
        <w:r w:rsidRPr="002B5B9C">
          <w:rPr>
            <w:rStyle w:val="Hyperlink"/>
            <w:rFonts w:cs="Arial"/>
            <w:color w:val="0B4E60" w:themeColor="text2"/>
            <w:szCs w:val="24"/>
          </w:rPr>
          <w:t>General comment No. 4 (2016) on the right to inclusive education</w:t>
        </w:r>
      </w:hyperlink>
      <w:r w:rsidRPr="002B5B9C">
        <w:rPr>
          <w:rStyle w:val="Hyperlink"/>
          <w:rFonts w:cs="Arial"/>
          <w:color w:val="0B4E60" w:themeColor="text2"/>
          <w:szCs w:val="24"/>
        </w:rPr>
        <w:t>;</w:t>
      </w:r>
      <w:r w:rsidRPr="002B5B9C">
        <w:rPr>
          <w:rFonts w:cs="Arial"/>
          <w:szCs w:val="24"/>
        </w:rPr>
        <w:t xml:space="preserve"> </w:t>
      </w:r>
      <w:r w:rsidRPr="002B5B9C">
        <w:rPr>
          <w:rFonts w:cs="Arial"/>
          <w:szCs w:val="24"/>
          <w:u w:color="009C98" w:themeColor="accent1"/>
        </w:rPr>
        <w:t xml:space="preserve">Equality and Human Rights Commission (2020), </w:t>
      </w:r>
      <w:hyperlink r:id="rId112" w:history="1">
        <w:r w:rsidRPr="002B5B9C">
          <w:rPr>
            <w:rStyle w:val="Hyperlink"/>
            <w:rFonts w:cs="Arial"/>
            <w:color w:val="0B4E60" w:themeColor="text2"/>
            <w:szCs w:val="24"/>
          </w:rPr>
          <w:t>Inclusive education – UK Government assessment</w:t>
        </w:r>
      </w:hyperlink>
      <w:r w:rsidRPr="002B5B9C">
        <w:rPr>
          <w:rFonts w:cs="Arial"/>
          <w:szCs w:val="24"/>
          <w:u w:color="009C98" w:themeColor="accent1"/>
        </w:rPr>
        <w:t xml:space="preserve"> [accessed: 2 March 2021].</w:t>
      </w:r>
    </w:p>
  </w:footnote>
  <w:footnote w:id="100">
    <w:p w14:paraId="0B29AE6B" w14:textId="4212226C" w:rsidR="00193935" w:rsidRPr="00A943D3" w:rsidRDefault="00193935" w:rsidP="007349F6">
      <w:pPr>
        <w:spacing w:line="240" w:lineRule="auto"/>
        <w:rPr>
          <w:rFonts w:ascii="Arial" w:hAnsi="Arial" w:cs="Arial"/>
          <w:szCs w:val="24"/>
          <w:u w:val="single" w:color="009C98" w:themeColor="accent1"/>
        </w:rPr>
      </w:pPr>
      <w:r w:rsidRPr="002B5B9C">
        <w:rPr>
          <w:rStyle w:val="FootnoteReference"/>
          <w:rFonts w:ascii="Arial" w:hAnsi="Arial" w:cs="Arial"/>
          <w:color w:val="0B4E60" w:themeColor="text2"/>
          <w:szCs w:val="24"/>
        </w:rPr>
        <w:footnoteRef/>
      </w:r>
      <w:r w:rsidRPr="002B5B9C">
        <w:rPr>
          <w:rFonts w:ascii="Arial" w:hAnsi="Arial" w:cs="Arial"/>
          <w:color w:val="0B4E60" w:themeColor="text2"/>
          <w:szCs w:val="24"/>
        </w:rPr>
        <w:t xml:space="preserve"> UN Committee on the Rights of Persons with Disabilities (2017), </w:t>
      </w:r>
      <w:hyperlink r:id="rId113" w:history="1">
        <w:r w:rsidRPr="002B5B9C">
          <w:rPr>
            <w:rStyle w:val="Hyperlink"/>
            <w:rFonts w:ascii="Arial" w:hAnsi="Arial" w:cs="Arial"/>
            <w:color w:val="0B4E60" w:themeColor="text2"/>
            <w:szCs w:val="24"/>
          </w:rPr>
          <w:t>List of issues in relation to the initial report of the United Kingdom of Great Britain and Northern Ireland. Addendum: Replies of the United Kingdom of Great Britain and Northern Ireland to the list of issues</w:t>
        </w:r>
      </w:hyperlink>
      <w:r w:rsidRPr="002B5B9C">
        <w:rPr>
          <w:rStyle w:val="Hyperlink"/>
          <w:rFonts w:ascii="Arial" w:hAnsi="Arial" w:cs="Arial"/>
          <w:color w:val="0B4E60" w:themeColor="text2"/>
          <w:szCs w:val="24"/>
        </w:rPr>
        <w:t xml:space="preserve"> </w:t>
      </w:r>
      <w:r>
        <w:rPr>
          <w:rStyle w:val="Hyperlink"/>
          <w:rFonts w:ascii="Arial" w:hAnsi="Arial" w:cs="Arial"/>
          <w:color w:val="0B4E60" w:themeColor="text2"/>
          <w:szCs w:val="24"/>
          <w:u w:val="none"/>
        </w:rPr>
        <w:t>[a</w:t>
      </w:r>
      <w:r w:rsidRPr="002B5B9C">
        <w:rPr>
          <w:rStyle w:val="Hyperlink"/>
          <w:rFonts w:ascii="Arial" w:hAnsi="Arial" w:cs="Arial"/>
          <w:color w:val="0B4E60" w:themeColor="text2"/>
          <w:szCs w:val="24"/>
          <w:u w:val="none"/>
        </w:rPr>
        <w:t>ccessed 6 May 2021]</w:t>
      </w:r>
      <w:r>
        <w:rPr>
          <w:rStyle w:val="Hyperlink"/>
          <w:rFonts w:ascii="Arial" w:hAnsi="Arial" w:cs="Arial"/>
          <w:color w:val="0B4E60" w:themeColor="text2"/>
          <w:szCs w:val="24"/>
          <w:u w:val="none"/>
        </w:rPr>
        <w:t>.</w:t>
      </w:r>
    </w:p>
  </w:footnote>
  <w:footnote w:id="101">
    <w:p w14:paraId="71B2110D" w14:textId="177D0EDA" w:rsidR="00193935" w:rsidRPr="000C0843" w:rsidRDefault="00193935" w:rsidP="00E459A3">
      <w:pPr>
        <w:pStyle w:val="FootnoteText"/>
        <w:spacing w:line="259" w:lineRule="auto"/>
        <w:rPr>
          <w:rFonts w:cs="Arial"/>
          <w:szCs w:val="24"/>
        </w:rPr>
      </w:pPr>
      <w:r w:rsidRPr="002B5B9C">
        <w:rPr>
          <w:rStyle w:val="FootnoteReference"/>
          <w:rFonts w:cs="Arial"/>
          <w:szCs w:val="24"/>
        </w:rPr>
        <w:footnoteRef/>
      </w:r>
      <w:r w:rsidRPr="002B5B9C">
        <w:rPr>
          <w:rFonts w:cs="Arial"/>
          <w:szCs w:val="24"/>
        </w:rPr>
        <w:t xml:space="preserve"> UN Committee on the Rights of Persons with Disabilities (2017), </w:t>
      </w:r>
      <w:hyperlink r:id="rId114" w:history="1">
        <w:r w:rsidRPr="002B5B9C">
          <w:rPr>
            <w:rStyle w:val="Hyperlink"/>
            <w:rFonts w:cs="Arial"/>
            <w:color w:val="0B4E60" w:themeColor="text2"/>
            <w:szCs w:val="24"/>
          </w:rPr>
          <w:t>Concluding observations on the initial report of the United Kingdom of Great Britain and Northern Ireland</w:t>
        </w:r>
      </w:hyperlink>
      <w:r w:rsidRPr="002B5B9C">
        <w:rPr>
          <w:rFonts w:cs="Arial"/>
          <w:szCs w:val="24"/>
        </w:rPr>
        <w:t xml:space="preserve">, paragraph 51 [accessed 6 May 2021]; See also: UN Committee on the Rights of Persons with Disabilities (2016), </w:t>
      </w:r>
      <w:hyperlink r:id="rId115" w:history="1">
        <w:r w:rsidRPr="002B5B9C">
          <w:rPr>
            <w:rStyle w:val="Hyperlink"/>
            <w:rFonts w:cs="Arial"/>
            <w:color w:val="0B4E60" w:themeColor="text2"/>
            <w:szCs w:val="24"/>
          </w:rPr>
          <w:t>General comment No. 4 (2016) on the right to inclusive education</w:t>
        </w:r>
      </w:hyperlink>
      <w:r w:rsidRPr="002B5B9C">
        <w:rPr>
          <w:rFonts w:cs="Arial"/>
          <w:szCs w:val="24"/>
          <w:u w:color="009C98" w:themeColor="accent1"/>
        </w:rPr>
        <w:t xml:space="preserve"> [accessed 6 May 2021].</w:t>
      </w:r>
    </w:p>
  </w:footnote>
  <w:footnote w:id="102">
    <w:p w14:paraId="57450A7F" w14:textId="6AE4FDC9" w:rsidR="00193935" w:rsidRPr="000C0843" w:rsidRDefault="00193935" w:rsidP="00E459A3">
      <w:pPr>
        <w:pStyle w:val="FootnoteText"/>
        <w:rPr>
          <w:rFonts w:cs="Arial"/>
          <w:szCs w:val="24"/>
        </w:rPr>
      </w:pPr>
      <w:r w:rsidRPr="002B5B9C">
        <w:rPr>
          <w:rStyle w:val="FootnoteReference"/>
          <w:rFonts w:cs="Arial"/>
          <w:szCs w:val="24"/>
        </w:rPr>
        <w:footnoteRef/>
      </w:r>
      <w:r w:rsidRPr="002B5B9C">
        <w:rPr>
          <w:rFonts w:cs="Arial"/>
          <w:szCs w:val="24"/>
        </w:rPr>
        <w:t xml:space="preserve"> </w:t>
      </w:r>
      <w:hyperlink r:id="rId116" w:history="1">
        <w:r w:rsidRPr="002B5B9C">
          <w:rPr>
            <w:rStyle w:val="Hyperlink"/>
            <w:rFonts w:cs="Arial"/>
            <w:color w:val="0B4E60" w:themeColor="text2"/>
            <w:szCs w:val="24"/>
          </w:rPr>
          <w:t>CRPD Article 8 – Awareness raising</w:t>
        </w:r>
      </w:hyperlink>
      <w:r>
        <w:rPr>
          <w:rStyle w:val="Hyperlink"/>
          <w:rFonts w:cs="Arial"/>
          <w:color w:val="0B4E60" w:themeColor="text2"/>
          <w:szCs w:val="24"/>
        </w:rPr>
        <w:t xml:space="preserve"> </w:t>
      </w:r>
      <w:r w:rsidRPr="002B5B9C">
        <w:rPr>
          <w:rStyle w:val="Hyperlink"/>
          <w:rFonts w:cs="Arial"/>
          <w:color w:val="0B4E60" w:themeColor="text2"/>
          <w:szCs w:val="24"/>
          <w:u w:val="none"/>
        </w:rPr>
        <w:t>[accessed 6 May 2021]</w:t>
      </w:r>
      <w:r w:rsidRPr="002B5B9C">
        <w:rPr>
          <w:rFonts w:cs="Arial"/>
          <w:szCs w:val="24"/>
        </w:rPr>
        <w:t xml:space="preserve">; See also: UN Committee on the Rights of Persons with Disabilities (2016), </w:t>
      </w:r>
      <w:hyperlink r:id="rId117" w:history="1">
        <w:r w:rsidRPr="002B5B9C">
          <w:rPr>
            <w:rStyle w:val="Hyperlink"/>
            <w:rFonts w:cs="Arial"/>
            <w:color w:val="0B4E60" w:themeColor="text2"/>
            <w:szCs w:val="24"/>
          </w:rPr>
          <w:t>General comment No. 4 (2016) on the right to inclusive education</w:t>
        </w:r>
      </w:hyperlink>
      <w:r w:rsidRPr="002B5B9C">
        <w:rPr>
          <w:rStyle w:val="Hyperlink"/>
          <w:rFonts w:cs="Arial"/>
          <w:color w:val="0B4E60" w:themeColor="text2"/>
          <w:szCs w:val="24"/>
        </w:rPr>
        <w:t>,</w:t>
      </w:r>
      <w:r w:rsidRPr="002B5B9C">
        <w:rPr>
          <w:rStyle w:val="Hyperlink"/>
          <w:rFonts w:cs="Arial"/>
          <w:color w:val="0B4E60" w:themeColor="text2"/>
          <w:szCs w:val="24"/>
          <w:u w:val="none"/>
        </w:rPr>
        <w:t xml:space="preserve"> paragraphs 9 and 48</w:t>
      </w:r>
      <w:r>
        <w:rPr>
          <w:rStyle w:val="Hyperlink"/>
          <w:rFonts w:cs="Arial"/>
          <w:color w:val="0B4E60" w:themeColor="text2"/>
          <w:szCs w:val="24"/>
          <w:u w:val="none"/>
        </w:rPr>
        <w:t xml:space="preserve"> </w:t>
      </w:r>
      <w:r w:rsidRPr="002B5B9C">
        <w:rPr>
          <w:rFonts w:cs="Arial"/>
          <w:szCs w:val="24"/>
          <w:u w:color="009C98" w:themeColor="accent1"/>
        </w:rPr>
        <w:t>[accessed 6 May 2021].</w:t>
      </w:r>
    </w:p>
  </w:footnote>
  <w:footnote w:id="103">
    <w:p w14:paraId="30CACCD3" w14:textId="26AEB952" w:rsidR="00193935" w:rsidRPr="000C0843" w:rsidRDefault="00193935" w:rsidP="00E459A3">
      <w:pPr>
        <w:pStyle w:val="FootnoteText"/>
        <w:rPr>
          <w:rFonts w:cs="Arial"/>
          <w:szCs w:val="24"/>
        </w:rPr>
      </w:pPr>
      <w:r w:rsidRPr="000C0843">
        <w:rPr>
          <w:rStyle w:val="FootnoteReference"/>
          <w:rFonts w:cs="Arial"/>
          <w:szCs w:val="24"/>
        </w:rPr>
        <w:footnoteRef/>
      </w:r>
      <w:r w:rsidRPr="000C0843">
        <w:rPr>
          <w:rFonts w:cs="Arial"/>
          <w:szCs w:val="24"/>
        </w:rPr>
        <w:t xml:space="preserve"> </w:t>
      </w:r>
      <w:bookmarkStart w:id="54" w:name="_Hlk66776396"/>
      <w:r>
        <w:rPr>
          <w:rFonts w:cs="Arial"/>
          <w:szCs w:val="24"/>
        </w:rPr>
        <w:t xml:space="preserve">House of Commons </w:t>
      </w:r>
      <w:r w:rsidRPr="000C0843">
        <w:rPr>
          <w:rFonts w:cs="Arial"/>
          <w:szCs w:val="24"/>
        </w:rPr>
        <w:t xml:space="preserve">Women and Equalities Committee (22 September 2020), </w:t>
      </w:r>
      <w:hyperlink r:id="rId118" w:history="1">
        <w:r w:rsidRPr="00E003A7">
          <w:rPr>
            <w:rStyle w:val="Hyperlink"/>
            <w:rFonts w:cs="Arial"/>
            <w:color w:val="0B4E60" w:themeColor="text2"/>
            <w:szCs w:val="24"/>
          </w:rPr>
          <w:t>Unequal impact? Coronavirus, disability and access to services: interim report on temporary provisions in the Coronavirus Act,</w:t>
        </w:r>
      </w:hyperlink>
      <w:bookmarkEnd w:id="54"/>
      <w:r w:rsidRPr="00E003A7">
        <w:rPr>
          <w:rFonts w:cs="Arial"/>
          <w:szCs w:val="24"/>
        </w:rPr>
        <w:t xml:space="preserve"> paragraph 47 </w:t>
      </w:r>
      <w:r>
        <w:rPr>
          <w:rFonts w:cs="Arial"/>
          <w:szCs w:val="24"/>
          <w:u w:color="009C98" w:themeColor="accent1"/>
        </w:rPr>
        <w:t xml:space="preserve">[accessed </w:t>
      </w:r>
      <w:r w:rsidRPr="00E003A7">
        <w:rPr>
          <w:rFonts w:cs="Arial"/>
          <w:szCs w:val="24"/>
          <w:u w:color="009C98" w:themeColor="accent1"/>
        </w:rPr>
        <w:t>15 March 2021]</w:t>
      </w:r>
      <w:r w:rsidRPr="00E003A7">
        <w:rPr>
          <w:rFonts w:cs="Arial"/>
          <w:szCs w:val="24"/>
        </w:rPr>
        <w:t xml:space="preserve">; </w:t>
      </w:r>
      <w:r w:rsidRPr="00E003A7">
        <w:rPr>
          <w:rFonts w:cs="Arial"/>
          <w:szCs w:val="24"/>
          <w:u w:color="009C98" w:themeColor="accent1"/>
        </w:rPr>
        <w:t xml:space="preserve">Local Government Association (July 2020), </w:t>
      </w:r>
      <w:hyperlink r:id="rId119" w:history="1">
        <w:r w:rsidRPr="00E003A7">
          <w:rPr>
            <w:rStyle w:val="Hyperlink"/>
            <w:rFonts w:cs="Arial"/>
            <w:color w:val="0B4E60" w:themeColor="text2"/>
            <w:szCs w:val="24"/>
          </w:rPr>
          <w:t>LGA analysis: COVID-19 council funding gap widens to £7.4 billion</w:t>
        </w:r>
      </w:hyperlink>
      <w:r>
        <w:rPr>
          <w:rFonts w:cs="Arial"/>
          <w:szCs w:val="24"/>
          <w:u w:color="009C98" w:themeColor="accent1"/>
        </w:rPr>
        <w:t xml:space="preserve"> [accessed </w:t>
      </w:r>
      <w:r w:rsidRPr="00E003A7">
        <w:rPr>
          <w:rFonts w:cs="Arial"/>
          <w:szCs w:val="24"/>
          <w:u w:color="009C98" w:themeColor="accent1"/>
        </w:rPr>
        <w:t>15 March 2021].</w:t>
      </w:r>
    </w:p>
  </w:footnote>
  <w:footnote w:id="104">
    <w:p w14:paraId="6F208B0C" w14:textId="7CD0436B" w:rsidR="00193935" w:rsidRPr="00E003A7" w:rsidRDefault="00193935" w:rsidP="00E459A3">
      <w:pPr>
        <w:pStyle w:val="FootnoteText"/>
        <w:rPr>
          <w:rFonts w:cs="Arial"/>
        </w:rPr>
      </w:pPr>
      <w:r w:rsidRPr="00E003A7">
        <w:rPr>
          <w:rStyle w:val="FootnoteReference"/>
          <w:rFonts w:cs="Arial"/>
          <w:szCs w:val="24"/>
        </w:rPr>
        <w:footnoteRef/>
      </w:r>
      <w:r w:rsidRPr="00E003A7">
        <w:rPr>
          <w:rFonts w:cs="Arial"/>
          <w:szCs w:val="24"/>
        </w:rPr>
        <w:t xml:space="preserve"> Ofsted and Care Quality Commission (2020), </w:t>
      </w:r>
      <w:hyperlink r:id="rId120" w:history="1">
        <w:r w:rsidRPr="00E003A7">
          <w:rPr>
            <w:rStyle w:val="Hyperlink"/>
            <w:color w:val="0B4E60" w:themeColor="text2"/>
            <w:szCs w:val="24"/>
          </w:rPr>
          <w:t>COVID-19 series: briefing on special educational needs and disabilities provision, November 2020</w:t>
        </w:r>
      </w:hyperlink>
      <w:r w:rsidRPr="00E003A7">
        <w:rPr>
          <w:rStyle w:val="Hyperlink"/>
          <w:color w:val="0B4E60" w:themeColor="text2"/>
          <w:szCs w:val="24"/>
          <w:u w:val="none"/>
        </w:rPr>
        <w:t xml:space="preserve"> </w:t>
      </w:r>
      <w:r w:rsidRPr="00E003A7">
        <w:rPr>
          <w:rStyle w:val="Hyperlink"/>
          <w:color w:val="0B4E60" w:themeColor="text2"/>
          <w:szCs w:val="24"/>
        </w:rPr>
        <w:t>[</w:t>
      </w:r>
      <w:r w:rsidRPr="00E003A7">
        <w:rPr>
          <w:rStyle w:val="Hyperlink"/>
          <w:color w:val="0B4E60" w:themeColor="text2"/>
          <w:szCs w:val="24"/>
          <w:u w:val="none"/>
        </w:rPr>
        <w:t>accessed 6 May 2021]</w:t>
      </w:r>
      <w:r w:rsidRPr="00E003A7">
        <w:rPr>
          <w:szCs w:val="24"/>
        </w:rPr>
        <w:t xml:space="preserve">. See also: </w:t>
      </w:r>
      <w:hyperlink r:id="rId121" w:history="1">
        <w:r w:rsidRPr="00E003A7">
          <w:rPr>
            <w:rStyle w:val="Hyperlink"/>
            <w:color w:val="0B4E60" w:themeColor="text2"/>
            <w:szCs w:val="24"/>
          </w:rPr>
          <w:t>Shaw &amp; Anor, R (2020) (On the Application Of) v Secretary of State for Education</w:t>
        </w:r>
      </w:hyperlink>
      <w:r w:rsidRPr="00E003A7">
        <w:rPr>
          <w:rStyle w:val="Hyperlink"/>
          <w:color w:val="0B4E60" w:themeColor="text2"/>
          <w:szCs w:val="24"/>
        </w:rPr>
        <w:t xml:space="preserve"> [accessed 6 May 2021]</w:t>
      </w:r>
      <w:r w:rsidRPr="00E003A7">
        <w:rPr>
          <w:szCs w:val="24"/>
        </w:rPr>
        <w:t>, EWHC 2216 (Admin)</w:t>
      </w:r>
      <w:r w:rsidRPr="00E003A7">
        <w:rPr>
          <w:rStyle w:val="Hyperlink"/>
          <w:color w:val="0B4E60" w:themeColor="text2"/>
          <w:szCs w:val="24"/>
          <w:u w:val="none"/>
        </w:rPr>
        <w:t>,</w:t>
      </w:r>
      <w:r w:rsidRPr="00E003A7">
        <w:rPr>
          <w:szCs w:val="24"/>
        </w:rPr>
        <w:t xml:space="preserve"> paragraph 51. </w:t>
      </w:r>
      <w:r w:rsidRPr="00E003A7">
        <w:t>This view is supported by anecdotal evidence provided to us by Just for Kids Law in May 2020.</w:t>
      </w:r>
    </w:p>
  </w:footnote>
  <w:footnote w:id="105">
    <w:p w14:paraId="027D742C" w14:textId="24D873F9" w:rsidR="00193935" w:rsidRPr="00E003A7" w:rsidRDefault="00193935" w:rsidP="00E459A3">
      <w:pPr>
        <w:pStyle w:val="FootnoteText"/>
        <w:contextualSpacing/>
        <w:rPr>
          <w:rStyle w:val="Hyperlink"/>
          <w:rFonts w:cs="Arial"/>
          <w:color w:val="0B4E60" w:themeColor="text2"/>
          <w:szCs w:val="24"/>
        </w:rPr>
      </w:pPr>
      <w:r w:rsidRPr="00E003A7">
        <w:rPr>
          <w:rStyle w:val="FootnoteReference"/>
          <w:rFonts w:cs="Arial"/>
          <w:szCs w:val="24"/>
        </w:rPr>
        <w:footnoteRef/>
      </w:r>
      <w:r w:rsidRPr="00E003A7">
        <w:rPr>
          <w:rFonts w:cs="Arial"/>
          <w:szCs w:val="24"/>
        </w:rPr>
        <w:t xml:space="preserve"> Department for Education (2020), </w:t>
      </w:r>
      <w:hyperlink r:id="rId122" w:history="1">
        <w:r w:rsidRPr="00E003A7">
          <w:rPr>
            <w:rStyle w:val="Hyperlink"/>
            <w:rFonts w:cs="Arial"/>
            <w:color w:val="0B4E60" w:themeColor="text2"/>
            <w:szCs w:val="24"/>
          </w:rPr>
          <w:t>Education, health and care needs assessments and plans: guidance on temporary legislative changes relating to coronavirus (COVID-19)</w:t>
        </w:r>
      </w:hyperlink>
      <w:r w:rsidRPr="00E003A7">
        <w:rPr>
          <w:rStyle w:val="Hyperlink"/>
          <w:rFonts w:cs="Arial"/>
          <w:color w:val="0B4E60" w:themeColor="text2"/>
          <w:szCs w:val="24"/>
          <w:u w:val="none"/>
        </w:rPr>
        <w:t xml:space="preserve"> [accessed 6 May 2021]</w:t>
      </w:r>
      <w:r>
        <w:rPr>
          <w:rStyle w:val="Hyperlink"/>
          <w:rFonts w:cs="Arial"/>
          <w:color w:val="0B4E60" w:themeColor="text2"/>
          <w:szCs w:val="24"/>
          <w:u w:val="none"/>
        </w:rPr>
        <w:t>.</w:t>
      </w:r>
    </w:p>
    <w:p w14:paraId="500F4B87" w14:textId="77777777" w:rsidR="00193935" w:rsidRPr="00DC0252" w:rsidRDefault="00193935" w:rsidP="00E459A3">
      <w:pPr>
        <w:pStyle w:val="FootnoteText"/>
        <w:contextualSpacing/>
        <w:rPr>
          <w:rFonts w:cs="Arial"/>
          <w:szCs w:val="24"/>
        </w:rPr>
      </w:pPr>
    </w:p>
  </w:footnote>
  <w:footnote w:id="106">
    <w:p w14:paraId="6C824DD2" w14:textId="66275839" w:rsidR="00193935" w:rsidRPr="00DC0252" w:rsidRDefault="00193935" w:rsidP="00E459A3">
      <w:pPr>
        <w:pStyle w:val="FootnoteText"/>
        <w:rPr>
          <w:rFonts w:cs="Arial"/>
          <w:szCs w:val="24"/>
        </w:rPr>
      </w:pPr>
      <w:r w:rsidRPr="00E003A7">
        <w:rPr>
          <w:rStyle w:val="FootnoteReference"/>
          <w:rFonts w:cs="Arial"/>
          <w:szCs w:val="24"/>
        </w:rPr>
        <w:footnoteRef/>
      </w:r>
      <w:r w:rsidRPr="00E003A7">
        <w:rPr>
          <w:rFonts w:cs="Arial"/>
          <w:szCs w:val="24"/>
        </w:rPr>
        <w:t xml:space="preserve"> Departmen</w:t>
      </w:r>
      <w:r w:rsidR="00547B18">
        <w:rPr>
          <w:rFonts w:cs="Arial"/>
          <w:szCs w:val="24"/>
        </w:rPr>
        <w:t xml:space="preserve">t for Education (2 July 2020), </w:t>
      </w:r>
      <w:hyperlink r:id="rId123" w:anchor="SEND-legislation" w:history="1">
        <w:r w:rsidRPr="00E003A7">
          <w:rPr>
            <w:rStyle w:val="Hyperlink"/>
            <w:rFonts w:cs="Arial"/>
            <w:color w:val="0B4E60" w:themeColor="text2"/>
            <w:szCs w:val="24"/>
            <w:lang w:val="en"/>
          </w:rPr>
          <w:t>Guidance for full opening: special schools and other specialist settings</w:t>
        </w:r>
      </w:hyperlink>
      <w:r w:rsidR="00547B18">
        <w:rPr>
          <w:rFonts w:cs="Arial"/>
          <w:szCs w:val="24"/>
          <w:lang w:val="en"/>
        </w:rPr>
        <w:t xml:space="preserve"> </w:t>
      </w:r>
      <w:r w:rsidRPr="00E003A7">
        <w:rPr>
          <w:rStyle w:val="Hyperlink"/>
          <w:rFonts w:cs="Arial"/>
          <w:color w:val="0B4E60" w:themeColor="text2"/>
          <w:szCs w:val="24"/>
          <w:u w:val="none"/>
        </w:rPr>
        <w:t>[accessed 6 May 2021].</w:t>
      </w:r>
      <w:r w:rsidRPr="00E003A7">
        <w:rPr>
          <w:rFonts w:cs="Arial"/>
          <w:szCs w:val="24"/>
          <w:lang w:val="en"/>
        </w:rPr>
        <w:t xml:space="preserve"> </w:t>
      </w:r>
    </w:p>
  </w:footnote>
  <w:footnote w:id="107">
    <w:p w14:paraId="23E17289" w14:textId="0A30B22E" w:rsidR="00193935" w:rsidRPr="00E003A7" w:rsidRDefault="00193935" w:rsidP="00E459A3">
      <w:pPr>
        <w:autoSpaceDE w:val="0"/>
        <w:autoSpaceDN w:val="0"/>
        <w:adjustRightInd w:val="0"/>
        <w:spacing w:line="240" w:lineRule="auto"/>
        <w:contextualSpacing/>
        <w:rPr>
          <w:rFonts w:ascii="Arial" w:hAnsi="Arial" w:cs="Arial"/>
          <w:color w:val="0B4E60" w:themeColor="text2"/>
          <w:szCs w:val="24"/>
        </w:rPr>
      </w:pPr>
      <w:r w:rsidRPr="00E003A7">
        <w:rPr>
          <w:rStyle w:val="FootnoteReference"/>
          <w:rFonts w:ascii="Arial" w:hAnsi="Arial" w:cs="Arial"/>
          <w:color w:val="0B4E60" w:themeColor="text2"/>
          <w:szCs w:val="24"/>
        </w:rPr>
        <w:footnoteRef/>
      </w:r>
      <w:r w:rsidRPr="00E003A7">
        <w:rPr>
          <w:rFonts w:ascii="Arial" w:hAnsi="Arial" w:cs="Arial"/>
          <w:color w:val="0B4E60" w:themeColor="text2"/>
          <w:szCs w:val="24"/>
        </w:rPr>
        <w:t xml:space="preserve"> </w:t>
      </w:r>
      <w:r w:rsidRPr="00E003A7">
        <w:rPr>
          <w:rStyle w:val="Hyperlink"/>
          <w:rFonts w:ascii="Arial" w:hAnsi="Arial" w:cs="Arial"/>
          <w:color w:val="0B4E60" w:themeColor="text2"/>
          <w:szCs w:val="24"/>
          <w:u w:val="none"/>
        </w:rPr>
        <w:t xml:space="preserve">Weale, S. (2020), </w:t>
      </w:r>
      <w:hyperlink r:id="rId124" w:history="1">
        <w:r w:rsidRPr="00E003A7">
          <w:rPr>
            <w:rStyle w:val="Hyperlink"/>
            <w:rFonts w:ascii="Arial" w:hAnsi="Arial" w:cs="Arial"/>
            <w:color w:val="0B4E60" w:themeColor="text2"/>
            <w:szCs w:val="24"/>
          </w:rPr>
          <w:t>English schools ‘using coronavirus as excuse’ not to teach special needs pupils</w:t>
        </w:r>
      </w:hyperlink>
      <w:r w:rsidRPr="00E003A7">
        <w:rPr>
          <w:rStyle w:val="Hyperlink"/>
          <w:rFonts w:ascii="Arial" w:hAnsi="Arial" w:cs="Arial"/>
          <w:color w:val="0B4E60" w:themeColor="text2"/>
          <w:szCs w:val="24"/>
          <w:u w:val="none"/>
        </w:rPr>
        <w:t xml:space="preserve">, Guardian, 1 July [accessed 15 March 2021]; House of Commons Education Committee (1 July 2020), </w:t>
      </w:r>
      <w:hyperlink r:id="rId125" w:history="1">
        <w:r w:rsidRPr="00E003A7">
          <w:rPr>
            <w:rStyle w:val="Hyperlink"/>
            <w:rFonts w:ascii="Arial" w:hAnsi="Arial" w:cs="Arial"/>
            <w:color w:val="0B4E60" w:themeColor="text2"/>
            <w:szCs w:val="24"/>
          </w:rPr>
          <w:t>Oral evidence: The impact of COVID-19 on education and children's services</w:t>
        </w:r>
      </w:hyperlink>
      <w:r w:rsidRPr="00E003A7">
        <w:rPr>
          <w:rStyle w:val="Hyperlink"/>
          <w:rFonts w:ascii="Arial" w:hAnsi="Arial" w:cs="Arial"/>
          <w:color w:val="0B4E60" w:themeColor="text2"/>
          <w:szCs w:val="24"/>
        </w:rPr>
        <w:t xml:space="preserve"> </w:t>
      </w:r>
      <w:r w:rsidRPr="00E003A7">
        <w:rPr>
          <w:rStyle w:val="Hyperlink"/>
          <w:rFonts w:ascii="Arial" w:hAnsi="Arial" w:cs="Arial"/>
          <w:color w:val="0B4E60" w:themeColor="text2"/>
          <w:szCs w:val="24"/>
          <w:u w:val="none"/>
        </w:rPr>
        <w:t>[accessed 15 March 2021]</w:t>
      </w:r>
      <w:r w:rsidRPr="00E003A7">
        <w:rPr>
          <w:rFonts w:ascii="Arial" w:hAnsi="Arial" w:cs="Arial"/>
          <w:color w:val="0B4E60" w:themeColor="text2"/>
          <w:szCs w:val="24"/>
        </w:rPr>
        <w:t>; E</w:t>
      </w:r>
      <w:r>
        <w:rPr>
          <w:rFonts w:ascii="Arial" w:hAnsi="Arial" w:cs="Arial"/>
          <w:color w:val="0B4E60" w:themeColor="text2"/>
          <w:szCs w:val="24"/>
        </w:rPr>
        <w:t xml:space="preserve">quality and </w:t>
      </w:r>
      <w:r w:rsidRPr="00E003A7">
        <w:rPr>
          <w:rFonts w:ascii="Arial" w:hAnsi="Arial" w:cs="Arial"/>
          <w:color w:val="0B4E60" w:themeColor="text2"/>
          <w:szCs w:val="24"/>
        </w:rPr>
        <w:t>H</w:t>
      </w:r>
      <w:r>
        <w:rPr>
          <w:rFonts w:ascii="Arial" w:hAnsi="Arial" w:cs="Arial"/>
          <w:color w:val="0B4E60" w:themeColor="text2"/>
          <w:szCs w:val="24"/>
        </w:rPr>
        <w:t xml:space="preserve">uman </w:t>
      </w:r>
      <w:r w:rsidRPr="00E003A7">
        <w:rPr>
          <w:rFonts w:ascii="Arial" w:hAnsi="Arial" w:cs="Arial"/>
          <w:color w:val="0B4E60" w:themeColor="text2"/>
          <w:szCs w:val="24"/>
        </w:rPr>
        <w:t>R</w:t>
      </w:r>
      <w:r>
        <w:rPr>
          <w:rFonts w:ascii="Arial" w:hAnsi="Arial" w:cs="Arial"/>
          <w:color w:val="0B4E60" w:themeColor="text2"/>
          <w:szCs w:val="24"/>
        </w:rPr>
        <w:t xml:space="preserve">ights </w:t>
      </w:r>
      <w:r w:rsidRPr="00E003A7">
        <w:rPr>
          <w:rFonts w:ascii="Arial" w:hAnsi="Arial" w:cs="Arial"/>
          <w:color w:val="0B4E60" w:themeColor="text2"/>
          <w:szCs w:val="24"/>
        </w:rPr>
        <w:t>C</w:t>
      </w:r>
      <w:r>
        <w:rPr>
          <w:rFonts w:ascii="Arial" w:hAnsi="Arial" w:cs="Arial"/>
          <w:color w:val="0B4E60" w:themeColor="text2"/>
          <w:szCs w:val="24"/>
        </w:rPr>
        <w:t>ommission</w:t>
      </w:r>
      <w:r w:rsidRPr="00E003A7">
        <w:rPr>
          <w:rFonts w:ascii="Arial" w:hAnsi="Arial" w:cs="Arial"/>
          <w:color w:val="0B4E60" w:themeColor="text2"/>
          <w:szCs w:val="24"/>
        </w:rPr>
        <w:t xml:space="preserve"> (29 May 2020), </w:t>
      </w:r>
      <w:hyperlink r:id="rId126" w:history="1">
        <w:r w:rsidRPr="00E003A7">
          <w:rPr>
            <w:rStyle w:val="Hyperlink"/>
            <w:rFonts w:ascii="Arial" w:hAnsi="Arial" w:cs="Arial"/>
            <w:color w:val="0B4E60" w:themeColor="text2"/>
            <w:szCs w:val="24"/>
          </w:rPr>
          <w:t>Evidence to the Education Select Committee inquiry on the impact of COVID-19 on education and children’s services</w:t>
        </w:r>
      </w:hyperlink>
      <w:r>
        <w:rPr>
          <w:rFonts w:ascii="Arial" w:hAnsi="Arial" w:cs="Arial"/>
          <w:color w:val="0B4E60" w:themeColor="text2"/>
          <w:szCs w:val="24"/>
        </w:rPr>
        <w:t xml:space="preserve"> </w:t>
      </w:r>
      <w:r w:rsidRPr="00E003A7">
        <w:rPr>
          <w:rStyle w:val="Hyperlink"/>
          <w:rFonts w:ascii="Arial" w:hAnsi="Arial" w:cs="Arial"/>
          <w:color w:val="0B4E60" w:themeColor="text2"/>
          <w:szCs w:val="24"/>
          <w:u w:val="none"/>
        </w:rPr>
        <w:t>[accessed 15 March 2021]</w:t>
      </w:r>
      <w:r>
        <w:rPr>
          <w:rStyle w:val="Hyperlink"/>
          <w:rFonts w:ascii="Arial" w:hAnsi="Arial" w:cs="Arial"/>
          <w:color w:val="0B4E60" w:themeColor="text2"/>
          <w:szCs w:val="24"/>
          <w:u w:val="none"/>
        </w:rPr>
        <w:t>.</w:t>
      </w:r>
    </w:p>
  </w:footnote>
  <w:footnote w:id="108">
    <w:p w14:paraId="1AF3A459" w14:textId="7628040C" w:rsidR="00193935" w:rsidRPr="000C0843" w:rsidRDefault="00193935" w:rsidP="006C1E0B">
      <w:pPr>
        <w:spacing w:line="240" w:lineRule="auto"/>
        <w:rPr>
          <w:rFonts w:ascii="Arial" w:hAnsi="Arial" w:cs="Arial"/>
          <w:szCs w:val="24"/>
        </w:rPr>
      </w:pPr>
      <w:r w:rsidRPr="00E003A7">
        <w:rPr>
          <w:rStyle w:val="FootnoteReference"/>
          <w:rFonts w:ascii="Arial" w:hAnsi="Arial" w:cs="Arial"/>
          <w:color w:val="0B4E60" w:themeColor="text2"/>
          <w:szCs w:val="24"/>
        </w:rPr>
        <w:footnoteRef/>
      </w:r>
      <w:r w:rsidRPr="00E003A7">
        <w:rPr>
          <w:rFonts w:ascii="Arial" w:hAnsi="Arial" w:cs="Arial"/>
          <w:color w:val="0B4E60" w:themeColor="text2"/>
          <w:szCs w:val="24"/>
        </w:rPr>
        <w:t xml:space="preserve"> </w:t>
      </w:r>
      <w:r w:rsidRPr="00E003A7">
        <w:rPr>
          <w:rFonts w:cs="Arial"/>
          <w:color w:val="0B4E60" w:themeColor="text2"/>
          <w:szCs w:val="24"/>
        </w:rPr>
        <w:t xml:space="preserve">House of Commons Women and Equalities Committee (22 September 2020), </w:t>
      </w:r>
      <w:hyperlink r:id="rId127" w:history="1">
        <w:r w:rsidRPr="00E003A7">
          <w:rPr>
            <w:rStyle w:val="Hyperlink"/>
            <w:rFonts w:cs="Arial"/>
            <w:color w:val="0B4E60" w:themeColor="text2"/>
            <w:szCs w:val="24"/>
          </w:rPr>
          <w:t>Unequal impact? Coronavirus, disability and access to services: interim report on temporary provisions in the Coronavirus Act,</w:t>
        </w:r>
      </w:hyperlink>
      <w:r w:rsidRPr="00E003A7">
        <w:rPr>
          <w:rStyle w:val="Hyperlink"/>
          <w:rFonts w:cs="Arial"/>
          <w:color w:val="0B4E60" w:themeColor="text2"/>
          <w:szCs w:val="24"/>
        </w:rPr>
        <w:t xml:space="preserve"> </w:t>
      </w:r>
      <w:r w:rsidRPr="00E003A7">
        <w:rPr>
          <w:rFonts w:ascii="Arial" w:hAnsi="Arial" w:cs="Arial"/>
          <w:color w:val="0B4E60" w:themeColor="text2"/>
          <w:szCs w:val="24"/>
        </w:rPr>
        <w:t xml:space="preserve">paragraphs 51–52 </w:t>
      </w:r>
      <w:r w:rsidRPr="00E003A7">
        <w:rPr>
          <w:rStyle w:val="Hyperlink"/>
          <w:rFonts w:ascii="Arial" w:hAnsi="Arial" w:cs="Arial"/>
          <w:color w:val="0B4E60" w:themeColor="text2"/>
          <w:szCs w:val="24"/>
          <w:u w:val="none"/>
        </w:rPr>
        <w:t>[accessed 15 March 2021]</w:t>
      </w:r>
      <w:r w:rsidRPr="00E003A7">
        <w:rPr>
          <w:rFonts w:ascii="Arial" w:hAnsi="Arial" w:cs="Arial"/>
          <w:color w:val="0B4E60" w:themeColor="text2"/>
          <w:szCs w:val="24"/>
        </w:rPr>
        <w:t>.</w:t>
      </w:r>
    </w:p>
  </w:footnote>
  <w:footnote w:id="109">
    <w:p w14:paraId="0FF4B51D" w14:textId="01FDEBC1" w:rsidR="00193935" w:rsidRPr="00E459A3" w:rsidRDefault="00193935" w:rsidP="00E459A3">
      <w:pPr>
        <w:pStyle w:val="FootnoteText"/>
        <w:rPr>
          <w:rFonts w:cs="Arial"/>
          <w:sz w:val="20"/>
        </w:rPr>
      </w:pPr>
      <w:r w:rsidRPr="00E003A7">
        <w:rPr>
          <w:rStyle w:val="FootnoteReference"/>
          <w:rFonts w:cs="Arial"/>
          <w:szCs w:val="24"/>
        </w:rPr>
        <w:footnoteRef/>
      </w:r>
      <w:r w:rsidRPr="00E003A7">
        <w:rPr>
          <w:rFonts w:cs="Arial"/>
          <w:szCs w:val="24"/>
        </w:rPr>
        <w:t xml:space="preserve"> Special Needs Jungle (14 May 2020), </w:t>
      </w:r>
      <w:hyperlink r:id="rId128" w:history="1">
        <w:r w:rsidRPr="00E003A7">
          <w:rPr>
            <w:rStyle w:val="Hyperlink"/>
            <w:rFonts w:cs="Arial"/>
            <w:color w:val="0B4E60" w:themeColor="text2"/>
            <w:szCs w:val="24"/>
          </w:rPr>
          <w:t>Coronavirus: Disabled children’s education rights must be restored now, before any formal return to school</w:t>
        </w:r>
      </w:hyperlink>
      <w:r w:rsidRPr="00E003A7">
        <w:rPr>
          <w:rStyle w:val="Hyperlink"/>
          <w:rFonts w:cs="Arial"/>
          <w:color w:val="0B4E60" w:themeColor="text2"/>
          <w:szCs w:val="24"/>
        </w:rPr>
        <w:t xml:space="preserve"> </w:t>
      </w:r>
      <w:r w:rsidRPr="00E003A7">
        <w:rPr>
          <w:rStyle w:val="Hyperlink"/>
          <w:rFonts w:cs="Arial"/>
          <w:color w:val="0B4E60" w:themeColor="text2"/>
          <w:szCs w:val="24"/>
          <w:u w:val="none"/>
        </w:rPr>
        <w:t>[accessed 15 March 2021].</w:t>
      </w:r>
      <w:r w:rsidRPr="00E003A7">
        <w:rPr>
          <w:rFonts w:cs="Arial"/>
          <w:bCs/>
          <w:szCs w:val="24"/>
        </w:rPr>
        <w:t xml:space="preserve"> </w:t>
      </w:r>
    </w:p>
  </w:footnote>
  <w:footnote w:id="110">
    <w:p w14:paraId="451051C2" w14:textId="0635ACA9" w:rsidR="00193935" w:rsidRPr="00DC0252" w:rsidRDefault="00193935" w:rsidP="00E459A3">
      <w:pPr>
        <w:pStyle w:val="FootnoteText"/>
        <w:rPr>
          <w:rFonts w:cs="Arial"/>
          <w:szCs w:val="24"/>
        </w:rPr>
      </w:pPr>
      <w:r w:rsidRPr="00E003A7">
        <w:rPr>
          <w:rStyle w:val="FootnoteReference"/>
          <w:rFonts w:cs="Arial"/>
          <w:szCs w:val="24"/>
        </w:rPr>
        <w:footnoteRef/>
      </w:r>
      <w:r w:rsidRPr="00E003A7">
        <w:rPr>
          <w:rFonts w:cs="Arial"/>
          <w:szCs w:val="24"/>
        </w:rPr>
        <w:t xml:space="preserve"> Women and Equalities Committee (22 September 2020), </w:t>
      </w:r>
      <w:hyperlink r:id="rId129" w:history="1">
        <w:r w:rsidRPr="00E003A7">
          <w:rPr>
            <w:rStyle w:val="Hyperlink"/>
            <w:rFonts w:cs="Arial"/>
            <w:color w:val="0B4E60" w:themeColor="text2"/>
            <w:szCs w:val="24"/>
          </w:rPr>
          <w:t>Unequal impact? Coronavirus, disability and access to services: interim report on temporary provisions in the Coronavirus Act</w:t>
        </w:r>
      </w:hyperlink>
      <w:r>
        <w:rPr>
          <w:rFonts w:cs="Arial"/>
          <w:szCs w:val="24"/>
        </w:rPr>
        <w:t>, paragraphs</w:t>
      </w:r>
      <w:r w:rsidRPr="00E003A7">
        <w:rPr>
          <w:rFonts w:cs="Arial"/>
          <w:szCs w:val="24"/>
        </w:rPr>
        <w:t xml:space="preserve"> 58–</w:t>
      </w:r>
      <w:r>
        <w:rPr>
          <w:rFonts w:cs="Arial"/>
          <w:szCs w:val="24"/>
        </w:rPr>
        <w:t xml:space="preserve">59 </w:t>
      </w:r>
      <w:r w:rsidRPr="00E003A7">
        <w:rPr>
          <w:rStyle w:val="Hyperlink"/>
          <w:rFonts w:ascii="Arial" w:hAnsi="Arial" w:cs="Arial"/>
          <w:color w:val="0B4E60" w:themeColor="text2"/>
          <w:szCs w:val="24"/>
          <w:u w:val="none"/>
        </w:rPr>
        <w:t>[accessed 15</w:t>
      </w:r>
      <w:r>
        <w:rPr>
          <w:rStyle w:val="Hyperlink"/>
          <w:rFonts w:ascii="Arial" w:hAnsi="Arial" w:cs="Arial"/>
          <w:color w:val="0B4E60" w:themeColor="text2"/>
          <w:szCs w:val="24"/>
          <w:u w:val="none"/>
        </w:rPr>
        <w:t xml:space="preserve"> March 2021].</w:t>
      </w:r>
      <w:r w:rsidRPr="00E003A7">
        <w:rPr>
          <w:rFonts w:cs="Arial"/>
          <w:szCs w:val="24"/>
        </w:rPr>
        <w:t xml:space="preserve"> </w:t>
      </w:r>
    </w:p>
  </w:footnote>
  <w:footnote w:id="111">
    <w:p w14:paraId="1E1D612F" w14:textId="5A024AD8" w:rsidR="00193935" w:rsidRPr="00DC0252" w:rsidRDefault="00193935" w:rsidP="00E459A3">
      <w:pPr>
        <w:pStyle w:val="FootnoteText"/>
        <w:rPr>
          <w:rFonts w:cs="Arial"/>
          <w:szCs w:val="24"/>
        </w:rPr>
      </w:pPr>
      <w:r w:rsidRPr="00A61AFB">
        <w:rPr>
          <w:rStyle w:val="FootnoteReference"/>
          <w:rFonts w:cs="Arial"/>
          <w:szCs w:val="24"/>
        </w:rPr>
        <w:footnoteRef/>
      </w:r>
      <w:r w:rsidRPr="00A61AFB">
        <w:rPr>
          <w:rFonts w:cs="Arial"/>
          <w:szCs w:val="24"/>
        </w:rPr>
        <w:t xml:space="preserve"> National Preventive Mechanism (2020), </w:t>
      </w:r>
      <w:hyperlink r:id="rId130" w:history="1">
        <w:r w:rsidRPr="00A61AFB">
          <w:rPr>
            <w:rStyle w:val="Hyperlink"/>
            <w:rFonts w:cs="Arial"/>
            <w:color w:val="0B4E60" w:themeColor="text2"/>
            <w:szCs w:val="24"/>
          </w:rPr>
          <w:t>Letter to UK Secretary of State for Justice Robert Buckland QC MP</w:t>
        </w:r>
      </w:hyperlink>
      <w:r w:rsidRPr="00A61AFB">
        <w:rPr>
          <w:rFonts w:cs="Arial"/>
          <w:szCs w:val="24"/>
        </w:rPr>
        <w:t xml:space="preserve"> </w:t>
      </w:r>
      <w:r w:rsidRPr="00A61AFB">
        <w:rPr>
          <w:rStyle w:val="Hyperlink"/>
          <w:rFonts w:ascii="Arial" w:hAnsi="Arial" w:cs="Arial"/>
          <w:color w:val="0B4E60" w:themeColor="text2"/>
          <w:szCs w:val="24"/>
          <w:u w:val="none"/>
        </w:rPr>
        <w:t>[accessed 15 March 2021];</w:t>
      </w:r>
      <w:r w:rsidRPr="00A61AFB">
        <w:rPr>
          <w:rFonts w:cs="Arial"/>
          <w:szCs w:val="24"/>
        </w:rPr>
        <w:t xml:space="preserve"> See also: Joint Committee on Human Rights (2019), </w:t>
      </w:r>
      <w:hyperlink r:id="rId131" w:history="1">
        <w:r w:rsidRPr="00A61AFB">
          <w:rPr>
            <w:rStyle w:val="Hyperlink"/>
            <w:rFonts w:cs="Arial"/>
            <w:color w:val="0B4E60" w:themeColor="text2"/>
            <w:szCs w:val="24"/>
          </w:rPr>
          <w:t>The detention of young people with learning disabilities and/or autism</w:t>
        </w:r>
      </w:hyperlink>
      <w:r w:rsidRPr="00A61AFB">
        <w:rPr>
          <w:rFonts w:cs="Arial"/>
          <w:szCs w:val="24"/>
        </w:rPr>
        <w:t xml:space="preserve">; Equality and Human Rights Commission (2020), </w:t>
      </w:r>
      <w:hyperlink r:id="rId132" w:history="1">
        <w:r w:rsidRPr="00A61AFB">
          <w:rPr>
            <w:rStyle w:val="Hyperlink"/>
            <w:rFonts w:cs="Arial"/>
            <w:color w:val="0B4E60" w:themeColor="text2"/>
            <w:szCs w:val="24"/>
          </w:rPr>
          <w:t>Health Secretary faces legal challenge for failing patients with learning disabilities and autism</w:t>
        </w:r>
      </w:hyperlink>
      <w:r>
        <w:rPr>
          <w:rFonts w:cs="Arial"/>
          <w:szCs w:val="24"/>
        </w:rPr>
        <w:t xml:space="preserve"> [accessed 15 March 2021].</w:t>
      </w:r>
    </w:p>
  </w:footnote>
  <w:footnote w:id="112">
    <w:p w14:paraId="10DB218D" w14:textId="3447EC1D" w:rsidR="00193935" w:rsidRPr="00A61AFB" w:rsidRDefault="00193935" w:rsidP="00612338">
      <w:pPr>
        <w:pStyle w:val="FootnoteText"/>
        <w:rPr>
          <w:rFonts w:cs="Arial"/>
          <w:szCs w:val="24"/>
        </w:rPr>
      </w:pPr>
      <w:r w:rsidRPr="00A61AFB">
        <w:rPr>
          <w:rStyle w:val="FootnoteReference"/>
          <w:rFonts w:cs="Arial"/>
          <w:szCs w:val="24"/>
        </w:rPr>
        <w:footnoteRef/>
      </w:r>
      <w:r w:rsidRPr="00A61AFB">
        <w:rPr>
          <w:rFonts w:cs="Arial"/>
          <w:szCs w:val="24"/>
        </w:rPr>
        <w:t xml:space="preserve"> Department for Work and Pensions and Department of Health (2017), </w:t>
      </w:r>
      <w:hyperlink r:id="rId133" w:history="1">
        <w:r w:rsidRPr="00A61AFB">
          <w:rPr>
            <w:rStyle w:val="Hyperlink"/>
            <w:rFonts w:cs="Arial"/>
            <w:color w:val="0B4E60" w:themeColor="text2"/>
            <w:szCs w:val="24"/>
          </w:rPr>
          <w:t>Improving lives, the future of work, health and disability</w:t>
        </w:r>
      </w:hyperlink>
      <w:r>
        <w:rPr>
          <w:rStyle w:val="Hyperlink"/>
          <w:rFonts w:cs="Arial"/>
          <w:color w:val="0B4E60" w:themeColor="text2"/>
          <w:szCs w:val="24"/>
        </w:rPr>
        <w:t xml:space="preserve"> </w:t>
      </w:r>
      <w:r w:rsidRPr="00E003A7">
        <w:rPr>
          <w:rStyle w:val="Hyperlink"/>
          <w:rFonts w:ascii="Arial" w:hAnsi="Arial" w:cs="Arial"/>
          <w:color w:val="0B4E60" w:themeColor="text2"/>
          <w:szCs w:val="24"/>
          <w:u w:val="none"/>
        </w:rPr>
        <w:t>[accessed 15 March 2021</w:t>
      </w:r>
      <w:r w:rsidRPr="00A61AFB">
        <w:rPr>
          <w:rStyle w:val="Hyperlink"/>
          <w:rFonts w:ascii="Arial" w:hAnsi="Arial" w:cs="Arial"/>
          <w:color w:val="0B4E60" w:themeColor="text2"/>
          <w:szCs w:val="24"/>
          <w:u w:val="none"/>
        </w:rPr>
        <w:t>]</w:t>
      </w:r>
      <w:r w:rsidRPr="00A61AFB">
        <w:rPr>
          <w:rStyle w:val="Hyperlink"/>
          <w:rFonts w:cs="Arial"/>
          <w:color w:val="0B4E60" w:themeColor="text2"/>
          <w:szCs w:val="24"/>
          <w:u w:val="none"/>
        </w:rPr>
        <w:t>.</w:t>
      </w:r>
    </w:p>
  </w:footnote>
  <w:footnote w:id="113">
    <w:p w14:paraId="41A2D3A6" w14:textId="0BC4987E" w:rsidR="00193935" w:rsidRPr="00A61AFB" w:rsidRDefault="00193935" w:rsidP="00612338">
      <w:pPr>
        <w:pStyle w:val="FootnoteText"/>
        <w:rPr>
          <w:rFonts w:cs="Arial"/>
        </w:rPr>
      </w:pPr>
      <w:r w:rsidRPr="00A61AFB">
        <w:rPr>
          <w:rStyle w:val="FootnoteReference"/>
          <w:rFonts w:cs="Arial"/>
          <w:szCs w:val="24"/>
        </w:rPr>
        <w:footnoteRef/>
      </w:r>
      <w:r w:rsidRPr="00A61AFB">
        <w:rPr>
          <w:rFonts w:cs="Arial"/>
          <w:szCs w:val="24"/>
        </w:rPr>
        <w:t xml:space="preserve"> Department for Work and Pensions and Office for Disability Issues (2019), </w:t>
      </w:r>
      <w:hyperlink r:id="rId134" w:history="1">
        <w:r w:rsidRPr="00A61AFB">
          <w:rPr>
            <w:rStyle w:val="Hyperlink"/>
            <w:rFonts w:cs="Arial"/>
            <w:color w:val="0B4E60" w:themeColor="text2"/>
            <w:szCs w:val="24"/>
          </w:rPr>
          <w:t>2019 progress report on the UK’s vision to build a society which is fully inclusive of disabled people</w:t>
        </w:r>
        <w:r>
          <w:rPr>
            <w:rStyle w:val="Hyperlink"/>
            <w:rFonts w:cs="Arial"/>
            <w:color w:val="0B4E60" w:themeColor="text2"/>
            <w:szCs w:val="24"/>
          </w:rPr>
          <w:t xml:space="preserve"> </w:t>
        </w:r>
        <w:r w:rsidRPr="00E003A7">
          <w:rPr>
            <w:rStyle w:val="Hyperlink"/>
            <w:rFonts w:ascii="Arial" w:hAnsi="Arial" w:cs="Arial"/>
            <w:color w:val="0B4E60" w:themeColor="text2"/>
            <w:szCs w:val="24"/>
            <w:u w:val="none"/>
          </w:rPr>
          <w:t>[accessed 15 March 2021]</w:t>
        </w:r>
        <w:r w:rsidRPr="00A61AFB">
          <w:rPr>
            <w:rStyle w:val="Hyperlink"/>
            <w:rFonts w:cs="Arial"/>
            <w:color w:val="0B4E60" w:themeColor="text2"/>
            <w:szCs w:val="24"/>
            <w:u w:val="none"/>
          </w:rPr>
          <w:t>.</w:t>
        </w:r>
      </w:hyperlink>
    </w:p>
  </w:footnote>
  <w:footnote w:id="114">
    <w:p w14:paraId="26C40FBC" w14:textId="6B1A9CE8" w:rsidR="00193935" w:rsidRPr="00A61AFB" w:rsidRDefault="00193935" w:rsidP="00612338">
      <w:pPr>
        <w:pStyle w:val="FootnoteText"/>
        <w:rPr>
          <w:rFonts w:cs="Arial"/>
          <w:szCs w:val="24"/>
        </w:rPr>
      </w:pPr>
      <w:r w:rsidRPr="00A61AFB">
        <w:rPr>
          <w:rStyle w:val="FootnoteReference"/>
          <w:rFonts w:cs="Arial"/>
          <w:szCs w:val="24"/>
        </w:rPr>
        <w:footnoteRef/>
      </w:r>
      <w:r w:rsidRPr="00A61AFB">
        <w:rPr>
          <w:rFonts w:cs="Arial"/>
          <w:szCs w:val="24"/>
        </w:rPr>
        <w:t xml:space="preserve"> Office for National Statistics, </w:t>
      </w:r>
      <w:hyperlink r:id="rId135" w:history="1">
        <w:r w:rsidRPr="00A61AFB">
          <w:rPr>
            <w:rStyle w:val="Hyperlink"/>
            <w:rFonts w:cs="Arial"/>
            <w:color w:val="0B4E60" w:themeColor="text2"/>
            <w:szCs w:val="24"/>
          </w:rPr>
          <w:t>AO8: Labour market status of disabled people</w:t>
        </w:r>
      </w:hyperlink>
      <w:r w:rsidRPr="00A61AFB">
        <w:rPr>
          <w:rFonts w:cs="Arial"/>
          <w:szCs w:val="24"/>
        </w:rPr>
        <w:t xml:space="preserve">; </w:t>
      </w:r>
      <w:hyperlink r:id="rId136" w:history="1">
        <w:r w:rsidRPr="00A61AFB">
          <w:rPr>
            <w:rStyle w:val="Hyperlink"/>
            <w:rFonts w:cs="Arial"/>
            <w:color w:val="0B4E60" w:themeColor="text2"/>
            <w:szCs w:val="24"/>
          </w:rPr>
          <w:t>House of Commons Library briefing paper (August 2020), People with disabilities in employment</w:t>
        </w:r>
        <w:r w:rsidRPr="00A61AFB">
          <w:rPr>
            <w:rStyle w:val="Hyperlink"/>
            <w:rFonts w:cs="Arial"/>
            <w:color w:val="0B4E60" w:themeColor="text2"/>
            <w:szCs w:val="24"/>
            <w:u w:val="none"/>
          </w:rPr>
          <w:t xml:space="preserve"> </w:t>
        </w:r>
        <w:r w:rsidRPr="00E003A7">
          <w:rPr>
            <w:rStyle w:val="Hyperlink"/>
            <w:rFonts w:ascii="Arial" w:hAnsi="Arial" w:cs="Arial"/>
            <w:color w:val="0B4E60" w:themeColor="text2"/>
            <w:szCs w:val="24"/>
            <w:u w:val="none"/>
          </w:rPr>
          <w:t>[accessed 15</w:t>
        </w:r>
        <w:r>
          <w:rPr>
            <w:rStyle w:val="Hyperlink"/>
            <w:rFonts w:ascii="Arial" w:hAnsi="Arial" w:cs="Arial"/>
            <w:color w:val="0B4E60" w:themeColor="text2"/>
            <w:szCs w:val="24"/>
            <w:u w:val="none"/>
          </w:rPr>
          <w:t xml:space="preserve"> March 2021]</w:t>
        </w:r>
        <w:r w:rsidRPr="00A61AFB">
          <w:rPr>
            <w:rStyle w:val="Hyperlink"/>
            <w:rFonts w:cs="Arial"/>
            <w:color w:val="0B4E60" w:themeColor="text2"/>
            <w:szCs w:val="24"/>
            <w:u w:val="none"/>
          </w:rPr>
          <w:t>.</w:t>
        </w:r>
      </w:hyperlink>
    </w:p>
  </w:footnote>
  <w:footnote w:id="115">
    <w:p w14:paraId="4A9C7431" w14:textId="47B7F316" w:rsidR="00193935" w:rsidRPr="00DC0252" w:rsidRDefault="00193935" w:rsidP="00612338">
      <w:pPr>
        <w:pStyle w:val="FootnoteText"/>
        <w:rPr>
          <w:rFonts w:cs="Arial"/>
          <w:szCs w:val="24"/>
        </w:rPr>
      </w:pPr>
      <w:r w:rsidRPr="00A61AFB">
        <w:rPr>
          <w:rStyle w:val="FootnoteReference"/>
          <w:rFonts w:cs="Arial"/>
          <w:szCs w:val="24"/>
        </w:rPr>
        <w:footnoteRef/>
      </w:r>
      <w:r w:rsidRPr="00A61AFB">
        <w:rPr>
          <w:rFonts w:cs="Arial"/>
          <w:szCs w:val="24"/>
        </w:rPr>
        <w:t xml:space="preserve"> E</w:t>
      </w:r>
      <w:r>
        <w:rPr>
          <w:rFonts w:cs="Arial"/>
          <w:szCs w:val="24"/>
        </w:rPr>
        <w:t xml:space="preserve">quality and </w:t>
      </w:r>
      <w:r w:rsidRPr="00A61AFB">
        <w:rPr>
          <w:rFonts w:cs="Arial"/>
          <w:szCs w:val="24"/>
        </w:rPr>
        <w:t>H</w:t>
      </w:r>
      <w:r>
        <w:rPr>
          <w:rFonts w:cs="Arial"/>
          <w:szCs w:val="24"/>
        </w:rPr>
        <w:t xml:space="preserve">uman </w:t>
      </w:r>
      <w:r w:rsidRPr="00A61AFB">
        <w:rPr>
          <w:rFonts w:cs="Arial"/>
          <w:szCs w:val="24"/>
        </w:rPr>
        <w:t>R</w:t>
      </w:r>
      <w:r>
        <w:rPr>
          <w:rFonts w:cs="Arial"/>
          <w:szCs w:val="24"/>
        </w:rPr>
        <w:t xml:space="preserve">ights </w:t>
      </w:r>
      <w:r w:rsidRPr="00A61AFB">
        <w:rPr>
          <w:rFonts w:cs="Arial"/>
          <w:szCs w:val="24"/>
        </w:rPr>
        <w:t>C</w:t>
      </w:r>
      <w:r>
        <w:rPr>
          <w:rFonts w:cs="Arial"/>
          <w:szCs w:val="24"/>
        </w:rPr>
        <w:t>ommission</w:t>
      </w:r>
      <w:r w:rsidRPr="00A61AFB">
        <w:rPr>
          <w:rFonts w:cs="Arial"/>
          <w:szCs w:val="24"/>
        </w:rPr>
        <w:t xml:space="preserve"> (2020), </w:t>
      </w:r>
      <w:hyperlink r:id="rId137" w:history="1">
        <w:r w:rsidRPr="00A61AFB">
          <w:rPr>
            <w:rStyle w:val="Hyperlink"/>
            <w:rFonts w:cs="Arial"/>
            <w:color w:val="0B4E60" w:themeColor="text2"/>
            <w:szCs w:val="24"/>
          </w:rPr>
          <w:t>Recruitment of workers into low-paid occupations and industries: an evidence review</w:t>
        </w:r>
      </w:hyperlink>
      <w:r w:rsidRPr="00A61AFB">
        <w:rPr>
          <w:rStyle w:val="Hyperlink"/>
          <w:rFonts w:cs="Arial"/>
          <w:color w:val="0B4E60" w:themeColor="text2"/>
          <w:szCs w:val="24"/>
          <w:u w:val="none"/>
        </w:rPr>
        <w:t xml:space="preserve"> </w:t>
      </w:r>
      <w:r w:rsidRPr="00E003A7">
        <w:rPr>
          <w:rStyle w:val="Hyperlink"/>
          <w:rFonts w:ascii="Arial" w:hAnsi="Arial" w:cs="Arial"/>
          <w:color w:val="0B4E60" w:themeColor="text2"/>
          <w:szCs w:val="24"/>
          <w:u w:val="none"/>
        </w:rPr>
        <w:t>[accessed 15 March 202</w:t>
      </w:r>
      <w:r w:rsidRPr="00A61AFB">
        <w:rPr>
          <w:rStyle w:val="Hyperlink"/>
          <w:rFonts w:ascii="Arial" w:hAnsi="Arial" w:cs="Arial"/>
          <w:color w:val="0B4E60" w:themeColor="text2"/>
          <w:szCs w:val="24"/>
          <w:u w:val="none"/>
        </w:rPr>
        <w:t>1]</w:t>
      </w:r>
      <w:r w:rsidRPr="00A61AFB">
        <w:rPr>
          <w:rStyle w:val="Hyperlink"/>
          <w:rFonts w:cs="Arial"/>
          <w:color w:val="0B4E60" w:themeColor="text2"/>
          <w:szCs w:val="24"/>
          <w:u w:val="none"/>
        </w:rPr>
        <w:t>.</w:t>
      </w:r>
    </w:p>
  </w:footnote>
  <w:footnote w:id="116">
    <w:p w14:paraId="663D07E6" w14:textId="3038C0C9" w:rsidR="00193935" w:rsidRPr="00DC0252" w:rsidRDefault="00193935" w:rsidP="00612338">
      <w:pPr>
        <w:pStyle w:val="FootnoteText"/>
        <w:rPr>
          <w:rFonts w:cs="Arial"/>
          <w:szCs w:val="24"/>
        </w:rPr>
      </w:pPr>
      <w:r w:rsidRPr="00A61AFB">
        <w:rPr>
          <w:rStyle w:val="FootnoteReference"/>
          <w:rFonts w:cs="Arial"/>
          <w:szCs w:val="24"/>
        </w:rPr>
        <w:footnoteRef/>
      </w:r>
      <w:r w:rsidRPr="00A61AFB">
        <w:rPr>
          <w:rFonts w:cs="Arial"/>
          <w:szCs w:val="24"/>
        </w:rPr>
        <w:t xml:space="preserve"> E</w:t>
      </w:r>
      <w:r>
        <w:rPr>
          <w:rFonts w:cs="Arial"/>
          <w:szCs w:val="24"/>
        </w:rPr>
        <w:t xml:space="preserve">quality and </w:t>
      </w:r>
      <w:r w:rsidRPr="00A61AFB">
        <w:rPr>
          <w:rFonts w:cs="Arial"/>
          <w:szCs w:val="24"/>
        </w:rPr>
        <w:t>H</w:t>
      </w:r>
      <w:r>
        <w:rPr>
          <w:rFonts w:cs="Arial"/>
          <w:szCs w:val="24"/>
        </w:rPr>
        <w:t xml:space="preserve">uman </w:t>
      </w:r>
      <w:r w:rsidRPr="00A61AFB">
        <w:rPr>
          <w:rFonts w:cs="Arial"/>
          <w:szCs w:val="24"/>
        </w:rPr>
        <w:t>R</w:t>
      </w:r>
      <w:r>
        <w:rPr>
          <w:rFonts w:cs="Arial"/>
          <w:szCs w:val="24"/>
        </w:rPr>
        <w:t xml:space="preserve">ights </w:t>
      </w:r>
      <w:r w:rsidRPr="00A61AFB">
        <w:rPr>
          <w:rFonts w:cs="Arial"/>
          <w:szCs w:val="24"/>
        </w:rPr>
        <w:t>C</w:t>
      </w:r>
      <w:r>
        <w:rPr>
          <w:rFonts w:cs="Arial"/>
          <w:szCs w:val="24"/>
        </w:rPr>
        <w:t>ommission</w:t>
      </w:r>
      <w:r w:rsidRPr="00A61AFB">
        <w:rPr>
          <w:rFonts w:cs="Arial"/>
          <w:szCs w:val="24"/>
        </w:rPr>
        <w:t xml:space="preserve"> (October 2020), </w:t>
      </w:r>
      <w:hyperlink r:id="rId138" w:history="1">
        <w:r w:rsidRPr="00A61AFB">
          <w:rPr>
            <w:rStyle w:val="Hyperlink"/>
            <w:rFonts w:cs="Arial"/>
            <w:color w:val="0B4E60" w:themeColor="text2"/>
            <w:szCs w:val="24"/>
          </w:rPr>
          <w:t>How coronavirus has affected equality and human rights</w:t>
        </w:r>
      </w:hyperlink>
      <w:r w:rsidRPr="00A61AFB">
        <w:rPr>
          <w:rStyle w:val="Hyperlink"/>
          <w:rFonts w:cs="Arial"/>
          <w:color w:val="0B4E60" w:themeColor="text2"/>
          <w:szCs w:val="24"/>
          <w:u w:val="none"/>
        </w:rPr>
        <w:t xml:space="preserve"> </w:t>
      </w:r>
      <w:r w:rsidRPr="00A61AFB">
        <w:rPr>
          <w:rStyle w:val="Hyperlink"/>
          <w:rFonts w:ascii="Arial" w:hAnsi="Arial" w:cs="Arial"/>
          <w:color w:val="0B4E60" w:themeColor="text2"/>
          <w:szCs w:val="24"/>
          <w:u w:val="none"/>
        </w:rPr>
        <w:t>[</w:t>
      </w:r>
      <w:r w:rsidRPr="00E003A7">
        <w:rPr>
          <w:rStyle w:val="Hyperlink"/>
          <w:rFonts w:ascii="Arial" w:hAnsi="Arial" w:cs="Arial"/>
          <w:color w:val="0B4E60" w:themeColor="text2"/>
          <w:szCs w:val="24"/>
          <w:u w:val="none"/>
        </w:rPr>
        <w:t>accessed 15 March 2021]</w:t>
      </w:r>
      <w:r w:rsidRPr="00A61AFB">
        <w:rPr>
          <w:rFonts w:cs="Arial"/>
          <w:szCs w:val="24"/>
        </w:rPr>
        <w:t xml:space="preserve">; Citizens Advice (August 2020), </w:t>
      </w:r>
      <w:hyperlink r:id="rId139" w:history="1">
        <w:r w:rsidRPr="00A61AFB">
          <w:rPr>
            <w:rStyle w:val="Hyperlink"/>
            <w:rFonts w:cs="Arial"/>
            <w:color w:val="0B4E60" w:themeColor="text2"/>
            <w:szCs w:val="24"/>
          </w:rPr>
          <w:t>An unequal crisis</w:t>
        </w:r>
      </w:hyperlink>
      <w:r w:rsidRPr="00A61AFB">
        <w:rPr>
          <w:rStyle w:val="Hyperlink"/>
          <w:rFonts w:cs="Arial"/>
          <w:color w:val="0B4E60" w:themeColor="text2"/>
          <w:szCs w:val="24"/>
        </w:rPr>
        <w:t>: Why workers need better enforcement of their rights</w:t>
      </w:r>
      <w:bookmarkStart w:id="56" w:name="_Hlk66780293"/>
      <w:r>
        <w:rPr>
          <w:rStyle w:val="Hyperlink"/>
          <w:rFonts w:cs="Arial"/>
          <w:color w:val="0B4E60" w:themeColor="text2"/>
          <w:szCs w:val="24"/>
        </w:rPr>
        <w:t xml:space="preserve"> </w:t>
      </w:r>
      <w:r w:rsidRPr="00E003A7">
        <w:rPr>
          <w:rStyle w:val="Hyperlink"/>
          <w:rFonts w:ascii="Arial" w:hAnsi="Arial" w:cs="Arial"/>
          <w:color w:val="0B4E60" w:themeColor="text2"/>
          <w:szCs w:val="24"/>
          <w:u w:val="none"/>
        </w:rPr>
        <w:t>[accessed 15 March 2021]</w:t>
      </w:r>
      <w:r>
        <w:rPr>
          <w:rStyle w:val="Hyperlink"/>
          <w:rFonts w:ascii="Arial" w:hAnsi="Arial" w:cs="Arial"/>
          <w:color w:val="0B4E60" w:themeColor="text2"/>
          <w:szCs w:val="24"/>
          <w:u w:val="none"/>
        </w:rPr>
        <w:t>.</w:t>
      </w:r>
    </w:p>
    <w:bookmarkEnd w:id="56"/>
  </w:footnote>
  <w:footnote w:id="117">
    <w:p w14:paraId="4E650049" w14:textId="2E4AAB77" w:rsidR="00193935" w:rsidRPr="00DC0252" w:rsidRDefault="00193935" w:rsidP="00612338">
      <w:pPr>
        <w:pStyle w:val="FootnoteText"/>
        <w:rPr>
          <w:rFonts w:cs="Arial"/>
          <w:szCs w:val="24"/>
        </w:rPr>
      </w:pPr>
      <w:r w:rsidRPr="00BD17F0">
        <w:rPr>
          <w:rStyle w:val="FootnoteReference"/>
          <w:rFonts w:cs="Arial"/>
          <w:szCs w:val="24"/>
        </w:rPr>
        <w:footnoteRef/>
      </w:r>
      <w:r w:rsidRPr="00BD17F0">
        <w:rPr>
          <w:rFonts w:cs="Arial"/>
          <w:szCs w:val="24"/>
        </w:rPr>
        <w:t xml:space="preserve"> </w:t>
      </w:r>
      <w:hyperlink r:id="rId140" w:history="1">
        <w:r w:rsidRPr="00BD17F0">
          <w:rPr>
            <w:rStyle w:val="Hyperlink"/>
            <w:rFonts w:cs="Arial"/>
            <w:color w:val="0B4E60" w:themeColor="text2"/>
            <w:szCs w:val="24"/>
            <w:u w:val="none"/>
          </w:rPr>
          <w:t>Leonard Cheshire Disability (October 2020),</w:t>
        </w:r>
        <w:r w:rsidRPr="00BD17F0">
          <w:rPr>
            <w:rStyle w:val="Hyperlink"/>
            <w:rFonts w:cs="Arial"/>
            <w:color w:val="0B4E60" w:themeColor="text2"/>
            <w:szCs w:val="24"/>
          </w:rPr>
          <w:t xml:space="preserve"> Locked out of the labour market: The impact of COVID-19 on disabled adults in accessing good work – now and into the future </w:t>
        </w:r>
        <w:r w:rsidRPr="00BD17F0">
          <w:rPr>
            <w:rStyle w:val="Hyperlink"/>
            <w:rFonts w:ascii="Arial" w:hAnsi="Arial" w:cs="Arial"/>
            <w:color w:val="0B4E60" w:themeColor="text2"/>
            <w:szCs w:val="24"/>
            <w:u w:val="none"/>
          </w:rPr>
          <w:t>[accessed 15 March 2021]</w:t>
        </w:r>
        <w:r w:rsidRPr="00BD17F0">
          <w:rPr>
            <w:rStyle w:val="Hyperlink"/>
            <w:rFonts w:cs="Arial"/>
            <w:color w:val="0B4E60" w:themeColor="text2"/>
            <w:szCs w:val="24"/>
            <w:u w:val="none"/>
          </w:rPr>
          <w:t>.</w:t>
        </w:r>
      </w:hyperlink>
    </w:p>
  </w:footnote>
  <w:footnote w:id="118">
    <w:p w14:paraId="6BEAF8B6" w14:textId="3893B609" w:rsidR="00193935" w:rsidRPr="00DC0252" w:rsidRDefault="00193935" w:rsidP="00452363">
      <w:pPr>
        <w:pStyle w:val="FootnoteText"/>
        <w:rPr>
          <w:rFonts w:cs="Arial"/>
          <w:szCs w:val="24"/>
        </w:rPr>
      </w:pPr>
      <w:r w:rsidRPr="00A61AFB">
        <w:rPr>
          <w:rStyle w:val="FootnoteReference"/>
          <w:rFonts w:cs="Arial"/>
          <w:szCs w:val="24"/>
        </w:rPr>
        <w:footnoteRef/>
      </w:r>
      <w:r w:rsidRPr="00A61AFB">
        <w:rPr>
          <w:rFonts w:cs="Arial"/>
          <w:szCs w:val="24"/>
        </w:rPr>
        <w:t xml:space="preserve"> UN Committee on the Rights of Persons with Disabilities (2017), </w:t>
      </w:r>
      <w:hyperlink r:id="rId141" w:history="1">
        <w:r w:rsidRPr="00A61AFB">
          <w:rPr>
            <w:rStyle w:val="Hyperlink"/>
            <w:rFonts w:cs="Arial"/>
            <w:color w:val="0B4E60" w:themeColor="text2"/>
            <w:szCs w:val="24"/>
          </w:rPr>
          <w:t>Inquiry concerning the United Kingdom of Great Britain and Northern Ireland carried out by the Committee under article 6 of the Optional Protocol to the Convention</w:t>
        </w:r>
      </w:hyperlink>
      <w:r>
        <w:rPr>
          <w:rStyle w:val="Hyperlink"/>
          <w:rFonts w:cs="Arial"/>
          <w:color w:val="0B4E60" w:themeColor="text2"/>
          <w:szCs w:val="24"/>
        </w:rPr>
        <w:t xml:space="preserve"> </w:t>
      </w:r>
      <w:r w:rsidRPr="00E003A7">
        <w:rPr>
          <w:rStyle w:val="Hyperlink"/>
          <w:rFonts w:ascii="Arial" w:hAnsi="Arial" w:cs="Arial"/>
          <w:color w:val="0B4E60" w:themeColor="text2"/>
          <w:szCs w:val="24"/>
          <w:u w:val="none"/>
        </w:rPr>
        <w:t>[accessed 15 March 2021]</w:t>
      </w:r>
    </w:p>
  </w:footnote>
  <w:footnote w:id="119">
    <w:p w14:paraId="5F5B476F" w14:textId="0659A8E8" w:rsidR="00193935" w:rsidRPr="00A61AFB" w:rsidRDefault="00193935" w:rsidP="00452363">
      <w:pPr>
        <w:pStyle w:val="FootnoteText"/>
        <w:spacing w:line="259" w:lineRule="auto"/>
        <w:rPr>
          <w:rFonts w:cs="Arial"/>
          <w:szCs w:val="24"/>
        </w:rPr>
      </w:pPr>
      <w:r w:rsidRPr="00A61AFB">
        <w:rPr>
          <w:rStyle w:val="FootnoteReference"/>
          <w:rFonts w:cs="Arial"/>
          <w:szCs w:val="24"/>
        </w:rPr>
        <w:footnoteRef/>
      </w:r>
      <w:r w:rsidRPr="00A61AFB">
        <w:rPr>
          <w:rFonts w:cs="Arial"/>
          <w:szCs w:val="24"/>
        </w:rPr>
        <w:t xml:space="preserve"> Joseph Rowntree Foundation (2020), </w:t>
      </w:r>
      <w:hyperlink r:id="rId142" w:history="1">
        <w:r>
          <w:rPr>
            <w:rStyle w:val="Hyperlink"/>
            <w:rFonts w:cs="Arial"/>
            <w:color w:val="0B4E60" w:themeColor="text2"/>
            <w:szCs w:val="24"/>
          </w:rPr>
          <w:t>UK Poverty 2019–</w:t>
        </w:r>
        <w:r w:rsidRPr="00A61AFB">
          <w:rPr>
            <w:rStyle w:val="Hyperlink"/>
            <w:rFonts w:cs="Arial"/>
            <w:color w:val="0B4E60" w:themeColor="text2"/>
            <w:szCs w:val="24"/>
          </w:rPr>
          <w:t>20</w:t>
        </w:r>
      </w:hyperlink>
      <w:r>
        <w:rPr>
          <w:rStyle w:val="Hyperlink"/>
          <w:rFonts w:cs="Arial"/>
          <w:color w:val="0B4E60" w:themeColor="text2"/>
          <w:szCs w:val="24"/>
        </w:rPr>
        <w:t xml:space="preserve"> </w:t>
      </w:r>
      <w:r w:rsidRPr="00E003A7">
        <w:rPr>
          <w:rStyle w:val="Hyperlink"/>
          <w:rFonts w:ascii="Arial" w:hAnsi="Arial" w:cs="Arial"/>
          <w:color w:val="0B4E60" w:themeColor="text2"/>
          <w:szCs w:val="24"/>
          <w:u w:val="none"/>
        </w:rPr>
        <w:t xml:space="preserve">[accessed 15 </w:t>
      </w:r>
      <w:r w:rsidRPr="00A61AFB">
        <w:rPr>
          <w:rStyle w:val="Hyperlink"/>
          <w:rFonts w:ascii="Arial" w:hAnsi="Arial" w:cs="Arial"/>
          <w:color w:val="0B4E60" w:themeColor="text2"/>
          <w:szCs w:val="24"/>
          <w:u w:val="none"/>
        </w:rPr>
        <w:t>March 2021].</w:t>
      </w:r>
    </w:p>
  </w:footnote>
  <w:footnote w:id="120">
    <w:p w14:paraId="7242F291" w14:textId="4CB45365" w:rsidR="00193935" w:rsidRPr="00A61AFB" w:rsidRDefault="00193935" w:rsidP="00452363">
      <w:pPr>
        <w:pStyle w:val="FootnoteText"/>
        <w:rPr>
          <w:b/>
          <w:szCs w:val="24"/>
        </w:rPr>
      </w:pPr>
      <w:r w:rsidRPr="00A61AFB">
        <w:rPr>
          <w:rStyle w:val="FootnoteReference"/>
          <w:rFonts w:ascii="Arial" w:hAnsi="Arial" w:cs="Arial"/>
          <w:szCs w:val="24"/>
        </w:rPr>
        <w:footnoteRef/>
      </w:r>
      <w:r w:rsidRPr="00A61AFB">
        <w:rPr>
          <w:szCs w:val="24"/>
        </w:rPr>
        <w:t xml:space="preserve"> Equality and Human Rights Commission (2018), </w:t>
      </w:r>
      <w:hyperlink r:id="rId143" w:history="1">
        <w:r w:rsidRPr="00A61AFB">
          <w:rPr>
            <w:rStyle w:val="Hyperlink"/>
            <w:rFonts w:ascii="Arial" w:hAnsi="Arial" w:cs="Arial"/>
            <w:color w:val="0B4E60" w:themeColor="text2"/>
            <w:szCs w:val="24"/>
          </w:rPr>
          <w:t>The cumulative impact of tax and welfare reforms</w:t>
        </w:r>
      </w:hyperlink>
      <w:r w:rsidRPr="00A61AFB">
        <w:rPr>
          <w:rStyle w:val="Hyperlink"/>
          <w:rFonts w:ascii="Arial" w:hAnsi="Arial" w:cs="Arial"/>
          <w:color w:val="0B4E60" w:themeColor="text2"/>
          <w:szCs w:val="24"/>
        </w:rPr>
        <w:t xml:space="preserve"> </w:t>
      </w:r>
      <w:r w:rsidRPr="00A61AFB">
        <w:rPr>
          <w:rStyle w:val="Hyperlink"/>
          <w:rFonts w:ascii="Arial" w:hAnsi="Arial" w:cs="Arial"/>
          <w:color w:val="0B4E60" w:themeColor="text2"/>
          <w:szCs w:val="24"/>
          <w:u w:val="none"/>
        </w:rPr>
        <w:t>[accessed 15 March 2021].</w:t>
      </w:r>
    </w:p>
  </w:footnote>
  <w:footnote w:id="121">
    <w:p w14:paraId="0D60A4E2" w14:textId="5B217569" w:rsidR="00193935" w:rsidRPr="00DC0252" w:rsidRDefault="00193935" w:rsidP="00452363">
      <w:pPr>
        <w:pStyle w:val="FootnoteText"/>
        <w:spacing w:line="259" w:lineRule="auto"/>
        <w:rPr>
          <w:rFonts w:cs="Arial"/>
          <w:szCs w:val="24"/>
        </w:rPr>
      </w:pPr>
      <w:r w:rsidRPr="00A61AFB">
        <w:rPr>
          <w:rStyle w:val="FootnoteReference"/>
          <w:rFonts w:cs="Arial"/>
          <w:szCs w:val="24"/>
        </w:rPr>
        <w:footnoteRef/>
      </w:r>
      <w:r w:rsidRPr="00A61AFB">
        <w:rPr>
          <w:rFonts w:cs="Arial"/>
          <w:szCs w:val="24"/>
        </w:rPr>
        <w:t xml:space="preserve"> UN Committee on the Rights of Persons with Disabilities (2017), </w:t>
      </w:r>
      <w:hyperlink r:id="rId144" w:history="1">
        <w:r w:rsidRPr="00A61AFB">
          <w:rPr>
            <w:rStyle w:val="Hyperlink"/>
            <w:rFonts w:cs="Arial"/>
            <w:color w:val="0B4E60" w:themeColor="text2"/>
            <w:szCs w:val="24"/>
          </w:rPr>
          <w:t>Inquiry concerning the United Kingdom of Great Britain and Northern Ireland carried out by the Committee under article 6 of the Optional Protocol to the Convention</w:t>
        </w:r>
      </w:hyperlink>
      <w:r w:rsidRPr="00A61AFB">
        <w:rPr>
          <w:rStyle w:val="Hyperlink"/>
          <w:rFonts w:cs="Arial"/>
          <w:color w:val="0B4E60" w:themeColor="text2"/>
          <w:szCs w:val="24"/>
        </w:rPr>
        <w:t xml:space="preserve"> </w:t>
      </w:r>
      <w:r w:rsidRPr="00A61AFB">
        <w:rPr>
          <w:rStyle w:val="Hyperlink"/>
          <w:rFonts w:ascii="Arial" w:hAnsi="Arial" w:cs="Arial"/>
          <w:color w:val="0B4E60" w:themeColor="text2"/>
          <w:szCs w:val="24"/>
          <w:u w:val="none"/>
        </w:rPr>
        <w:t>[accessed 15 March 2021].</w:t>
      </w:r>
    </w:p>
  </w:footnote>
  <w:footnote w:id="122">
    <w:p w14:paraId="7A158B01" w14:textId="5F6E74BA" w:rsidR="00193935" w:rsidRPr="00DC0252" w:rsidRDefault="00193935" w:rsidP="00452363">
      <w:pPr>
        <w:pStyle w:val="FootnoteText"/>
        <w:rPr>
          <w:rFonts w:cs="Arial"/>
          <w:szCs w:val="24"/>
        </w:rPr>
      </w:pPr>
      <w:r w:rsidRPr="00BD17F0">
        <w:rPr>
          <w:rStyle w:val="FootnoteReference"/>
          <w:rFonts w:cs="Arial"/>
          <w:szCs w:val="24"/>
        </w:rPr>
        <w:footnoteRef/>
      </w:r>
      <w:r w:rsidRPr="00BD17F0">
        <w:rPr>
          <w:rFonts w:cs="Arial"/>
          <w:szCs w:val="24"/>
        </w:rPr>
        <w:t xml:space="preserve"> Dwyer, P., Jones, K., McNeill, J., Scullion, L. and Stewart, A. (2018), </w:t>
      </w:r>
      <w:hyperlink r:id="rId145" w:history="1">
        <w:r w:rsidRPr="00BD17F0">
          <w:rPr>
            <w:rStyle w:val="Hyperlink"/>
            <w:rFonts w:cs="Arial"/>
            <w:color w:val="0B4E60" w:themeColor="text2"/>
            <w:szCs w:val="24"/>
          </w:rPr>
          <w:t>Final findings: disabled people</w:t>
        </w:r>
      </w:hyperlink>
      <w:r w:rsidRPr="00BD17F0">
        <w:rPr>
          <w:rFonts w:cs="Arial"/>
          <w:szCs w:val="24"/>
        </w:rPr>
        <w:t xml:space="preserve"> [accessed 10 July 2018].</w:t>
      </w:r>
    </w:p>
  </w:footnote>
  <w:footnote w:id="123">
    <w:p w14:paraId="2782A81D" w14:textId="6236B5E6" w:rsidR="00193935" w:rsidRPr="001A78AA" w:rsidRDefault="00193935" w:rsidP="00452363">
      <w:pPr>
        <w:pStyle w:val="FootnoteText"/>
        <w:rPr>
          <w:rFonts w:cs="Arial"/>
        </w:rPr>
      </w:pPr>
      <w:r w:rsidRPr="00A61AFB">
        <w:rPr>
          <w:rStyle w:val="FootnoteReference"/>
          <w:rFonts w:cs="Arial"/>
          <w:szCs w:val="24"/>
        </w:rPr>
        <w:footnoteRef/>
      </w:r>
      <w:r w:rsidRPr="00A61AFB">
        <w:rPr>
          <w:rFonts w:cs="Arial"/>
          <w:szCs w:val="24"/>
        </w:rPr>
        <w:t xml:space="preserve"> Equality Human Rights Commission (2018), </w:t>
      </w:r>
      <w:hyperlink r:id="rId146" w:history="1">
        <w:r w:rsidRPr="00A61AFB">
          <w:rPr>
            <w:rStyle w:val="Hyperlink"/>
            <w:rFonts w:cs="Arial"/>
            <w:color w:val="0B4E60" w:themeColor="text2"/>
            <w:szCs w:val="24"/>
          </w:rPr>
          <w:t>The impact of welfare reform and welfare-to-work programmes: an evidence review</w:t>
        </w:r>
        <w:r w:rsidRPr="00A61AFB">
          <w:rPr>
            <w:rStyle w:val="Hyperlink"/>
            <w:rFonts w:cs="Arial"/>
            <w:color w:val="0B4E60" w:themeColor="text2"/>
            <w:szCs w:val="24"/>
            <w:u w:val="none"/>
          </w:rPr>
          <w:t xml:space="preserve"> [accessed 6 May 2021].</w:t>
        </w:r>
      </w:hyperlink>
      <w:r w:rsidRPr="00A61AFB">
        <w:rPr>
          <w:rFonts w:cs="Arial"/>
          <w:szCs w:val="24"/>
        </w:rPr>
        <w:t xml:space="preserve"> See also: House of Commons Work and Pensions Select Committee (2018), </w:t>
      </w:r>
      <w:hyperlink r:id="rId147" w:history="1">
        <w:r w:rsidRPr="00A61AFB">
          <w:rPr>
            <w:rStyle w:val="Hyperlink"/>
            <w:rFonts w:cs="Arial"/>
            <w:color w:val="0B4E60" w:themeColor="text2"/>
            <w:szCs w:val="24"/>
          </w:rPr>
          <w:t xml:space="preserve">Benefit sanctions inquiry – written evidence from Equality and Human Rights Commission (ANC0050) </w:t>
        </w:r>
        <w:r w:rsidRPr="00A61AFB">
          <w:rPr>
            <w:rStyle w:val="Hyperlink"/>
            <w:rFonts w:cs="Arial"/>
            <w:color w:val="0B4E60" w:themeColor="text2"/>
            <w:szCs w:val="24"/>
            <w:u w:val="none"/>
          </w:rPr>
          <w:t>[accessed 6 May 2021].</w:t>
        </w:r>
      </w:hyperlink>
    </w:p>
  </w:footnote>
  <w:footnote w:id="124">
    <w:p w14:paraId="16A98A6B" w14:textId="12412897" w:rsidR="00193935" w:rsidRPr="00DC0252" w:rsidRDefault="00193935" w:rsidP="00452363">
      <w:pPr>
        <w:pStyle w:val="FootnoteText"/>
        <w:rPr>
          <w:rFonts w:cs="Arial"/>
          <w:szCs w:val="24"/>
        </w:rPr>
      </w:pPr>
      <w:r w:rsidRPr="00A61AFB">
        <w:rPr>
          <w:rStyle w:val="FootnoteReference"/>
          <w:rFonts w:cs="Arial"/>
          <w:szCs w:val="24"/>
        </w:rPr>
        <w:footnoteRef/>
      </w:r>
      <w:r w:rsidRPr="00A61AFB">
        <w:rPr>
          <w:rFonts w:cs="Arial"/>
          <w:szCs w:val="24"/>
        </w:rPr>
        <w:t xml:space="preserve"> Equality Human Rights Commission (2020), </w:t>
      </w:r>
      <w:hyperlink r:id="rId148" w:history="1">
        <w:r w:rsidRPr="00A61AFB">
          <w:rPr>
            <w:rStyle w:val="Hyperlink"/>
            <w:rFonts w:cs="Arial"/>
            <w:color w:val="0B4E60" w:themeColor="text2"/>
            <w:szCs w:val="24"/>
          </w:rPr>
          <w:t>How coronavirus has affected equality and human rights</w:t>
        </w:r>
      </w:hyperlink>
      <w:r w:rsidRPr="00A61AFB">
        <w:rPr>
          <w:rStyle w:val="Hyperlink"/>
          <w:rFonts w:cs="Arial"/>
          <w:color w:val="0B4E60" w:themeColor="text2"/>
          <w:szCs w:val="24"/>
        </w:rPr>
        <w:t xml:space="preserve"> </w:t>
      </w:r>
      <w:r w:rsidRPr="00A61AFB">
        <w:rPr>
          <w:rStyle w:val="Hyperlink"/>
          <w:rFonts w:cs="Arial"/>
          <w:color w:val="0B4E60" w:themeColor="text2"/>
          <w:szCs w:val="24"/>
          <w:u w:val="none"/>
        </w:rPr>
        <w:t>[accessed 6 May 2021].</w:t>
      </w:r>
      <w:r w:rsidRPr="00A61AFB">
        <w:rPr>
          <w:rStyle w:val="Hyperlink"/>
          <w:rFonts w:cs="Arial"/>
          <w:color w:val="0B4E60" w:themeColor="text2"/>
          <w:szCs w:val="24"/>
        </w:rPr>
        <w:t xml:space="preserve"> </w:t>
      </w:r>
    </w:p>
  </w:footnote>
  <w:footnote w:id="125">
    <w:p w14:paraId="012FD7C2" w14:textId="61F0E4EA" w:rsidR="00193935" w:rsidRPr="00DC0252" w:rsidRDefault="00193935" w:rsidP="00452363">
      <w:pPr>
        <w:pStyle w:val="FootnoteText"/>
        <w:rPr>
          <w:rFonts w:cs="Arial"/>
          <w:szCs w:val="24"/>
        </w:rPr>
      </w:pPr>
      <w:r w:rsidRPr="00A61AFB">
        <w:rPr>
          <w:rStyle w:val="FootnoteReference"/>
          <w:rFonts w:cs="Arial"/>
          <w:szCs w:val="24"/>
        </w:rPr>
        <w:footnoteRef/>
      </w:r>
      <w:r w:rsidRPr="00A61AFB">
        <w:rPr>
          <w:rFonts w:cs="Arial"/>
          <w:szCs w:val="24"/>
        </w:rPr>
        <w:t xml:space="preserve"> Blundell, R., Joyce, R., Costa Dias, M. and Xu, X. (2020), </w:t>
      </w:r>
      <w:hyperlink r:id="rId149" w:history="1">
        <w:r w:rsidRPr="00A61AFB">
          <w:rPr>
            <w:rStyle w:val="Hyperlink"/>
            <w:rFonts w:cs="Arial"/>
            <w:color w:val="0B4E60" w:themeColor="text2"/>
            <w:szCs w:val="24"/>
          </w:rPr>
          <w:t>COVID-19: the impacts of the pandemic on inequality</w:t>
        </w:r>
      </w:hyperlink>
      <w:r w:rsidRPr="00A61AFB">
        <w:rPr>
          <w:rFonts w:cs="Arial"/>
          <w:szCs w:val="24"/>
        </w:rPr>
        <w:t xml:space="preserve">, Institute for Fiscal Studies [accessed 6 May 2021]. See also: Social Metrics Commission (2020), </w:t>
      </w:r>
      <w:hyperlink r:id="rId150" w:history="1">
        <w:r w:rsidRPr="00A61AFB">
          <w:rPr>
            <w:rStyle w:val="Hyperlink"/>
            <w:rFonts w:cs="Arial"/>
            <w:color w:val="0B4E60" w:themeColor="text2"/>
            <w:szCs w:val="24"/>
          </w:rPr>
          <w:t>Poverty and COVID-19</w:t>
        </w:r>
      </w:hyperlink>
      <w:r w:rsidRPr="00A61AFB">
        <w:rPr>
          <w:rFonts w:cs="Arial"/>
          <w:szCs w:val="24"/>
        </w:rPr>
        <w:t xml:space="preserve"> [accessed 6 May 2021].</w:t>
      </w:r>
    </w:p>
  </w:footnote>
  <w:footnote w:id="126">
    <w:p w14:paraId="2374D963" w14:textId="2F2941F9" w:rsidR="00193935" w:rsidRPr="00DC0252" w:rsidRDefault="00193935" w:rsidP="00452363">
      <w:pPr>
        <w:pStyle w:val="FootnoteText"/>
        <w:rPr>
          <w:rFonts w:cs="Arial"/>
          <w:szCs w:val="24"/>
        </w:rPr>
      </w:pPr>
      <w:r w:rsidRPr="00A61AFB">
        <w:rPr>
          <w:rStyle w:val="FootnoteReference"/>
          <w:rFonts w:cs="Arial"/>
          <w:szCs w:val="24"/>
        </w:rPr>
        <w:footnoteRef/>
      </w:r>
      <w:r w:rsidRPr="00A61AFB">
        <w:rPr>
          <w:rFonts w:cs="Arial"/>
          <w:szCs w:val="24"/>
        </w:rPr>
        <w:t xml:space="preserve"> Office for National Statistics (2020), </w:t>
      </w:r>
      <w:hyperlink r:id="rId151" w:history="1">
        <w:r w:rsidRPr="00A61AFB">
          <w:rPr>
            <w:rStyle w:val="Hyperlink"/>
            <w:rFonts w:cs="Arial"/>
            <w:color w:val="0B4E60" w:themeColor="text2"/>
            <w:szCs w:val="24"/>
          </w:rPr>
          <w:t>Coronavirus and the social impacts on disabled people in Great Britain</w:t>
        </w:r>
      </w:hyperlink>
      <w:r w:rsidRPr="00A61AFB">
        <w:rPr>
          <w:rStyle w:val="Hyperlink"/>
          <w:rFonts w:cs="Arial"/>
          <w:color w:val="0B4E60" w:themeColor="text2"/>
          <w:szCs w:val="24"/>
        </w:rPr>
        <w:t>: July 2020</w:t>
      </w:r>
      <w:r>
        <w:rPr>
          <w:rStyle w:val="Hyperlink"/>
          <w:rFonts w:cs="Arial"/>
          <w:color w:val="0B4E60" w:themeColor="text2"/>
          <w:szCs w:val="24"/>
        </w:rPr>
        <w:t xml:space="preserve"> </w:t>
      </w:r>
      <w:r w:rsidRPr="00A61AFB">
        <w:rPr>
          <w:rFonts w:cs="Arial"/>
          <w:szCs w:val="24"/>
        </w:rPr>
        <w:t>[accessed 6 May 2021].</w:t>
      </w:r>
    </w:p>
  </w:footnote>
  <w:footnote w:id="127">
    <w:p w14:paraId="54C46F60" w14:textId="77777777" w:rsidR="00193935" w:rsidRPr="00DC0252" w:rsidRDefault="00193935" w:rsidP="00452363">
      <w:pPr>
        <w:pStyle w:val="FootnoteText"/>
        <w:rPr>
          <w:rFonts w:cs="Arial"/>
          <w:szCs w:val="24"/>
        </w:rPr>
      </w:pPr>
      <w:r w:rsidRPr="00DC0252">
        <w:rPr>
          <w:rStyle w:val="FootnoteReference"/>
          <w:rFonts w:cs="Arial"/>
          <w:szCs w:val="24"/>
        </w:rPr>
        <w:footnoteRef/>
      </w:r>
      <w:r w:rsidRPr="00DC0252">
        <w:rPr>
          <w:rFonts w:cs="Arial"/>
          <w:szCs w:val="24"/>
        </w:rPr>
        <w:t xml:space="preserve"> Ibid.</w:t>
      </w:r>
    </w:p>
  </w:footnote>
  <w:footnote w:id="128">
    <w:p w14:paraId="5C01579C" w14:textId="58C47F7C" w:rsidR="00193935" w:rsidRPr="00DC0252" w:rsidRDefault="00193935" w:rsidP="00452363">
      <w:pPr>
        <w:pStyle w:val="FootnoteText"/>
        <w:rPr>
          <w:szCs w:val="24"/>
        </w:rPr>
      </w:pPr>
      <w:r w:rsidRPr="0020185C">
        <w:rPr>
          <w:rStyle w:val="FootnoteReference"/>
          <w:szCs w:val="24"/>
        </w:rPr>
        <w:footnoteRef/>
      </w:r>
      <w:r w:rsidRPr="0020185C">
        <w:rPr>
          <w:szCs w:val="24"/>
        </w:rPr>
        <w:t xml:space="preserve"> </w:t>
      </w:r>
      <w:hyperlink r:id="rId152" w:history="1">
        <w:r w:rsidRPr="0020185C">
          <w:rPr>
            <w:rStyle w:val="Hyperlink"/>
            <w:color w:val="0B4E60" w:themeColor="text2"/>
            <w:szCs w:val="24"/>
          </w:rPr>
          <w:t>House of Lords Econ</w:t>
        </w:r>
        <w:r>
          <w:rPr>
            <w:rStyle w:val="Hyperlink"/>
            <w:color w:val="0B4E60" w:themeColor="text2"/>
            <w:szCs w:val="24"/>
          </w:rPr>
          <w:t xml:space="preserve">omic Affairs Committee (2020), </w:t>
        </w:r>
        <w:r w:rsidRPr="0020185C">
          <w:rPr>
            <w:rStyle w:val="Hyperlink"/>
            <w:color w:val="0B4E60" w:themeColor="text2"/>
            <w:szCs w:val="24"/>
          </w:rPr>
          <w:t>Universal credit isn’</w:t>
        </w:r>
        <w:r>
          <w:rPr>
            <w:rStyle w:val="Hyperlink"/>
            <w:color w:val="0B4E60" w:themeColor="text2"/>
            <w:szCs w:val="24"/>
          </w:rPr>
          <w:t>t working: proposals for reform</w:t>
        </w:r>
        <w:r w:rsidRPr="0020185C" w:rsidDel="007E5525">
          <w:rPr>
            <w:rStyle w:val="Hyperlink"/>
            <w:color w:val="0B4E60" w:themeColor="text2"/>
            <w:szCs w:val="24"/>
            <w:u w:val="none"/>
          </w:rPr>
          <w:t xml:space="preserve"> </w:t>
        </w:r>
        <w:r w:rsidRPr="0020185C">
          <w:rPr>
            <w:rStyle w:val="Hyperlink"/>
            <w:color w:val="0B4E60" w:themeColor="text2"/>
            <w:szCs w:val="24"/>
            <w:u w:val="none"/>
          </w:rPr>
          <w:t>[accessed: 26 February 2021].</w:t>
        </w:r>
      </w:hyperlink>
    </w:p>
  </w:footnote>
  <w:footnote w:id="129">
    <w:p w14:paraId="7F134762" w14:textId="4510DE99" w:rsidR="00193935" w:rsidRDefault="00193935" w:rsidP="00452363">
      <w:pPr>
        <w:pStyle w:val="FootnoteText"/>
      </w:pPr>
      <w:r w:rsidRPr="0020185C">
        <w:rPr>
          <w:rStyle w:val="FootnoteReference"/>
          <w:szCs w:val="24"/>
        </w:rPr>
        <w:footnoteRef/>
      </w:r>
      <w:r w:rsidRPr="0020185C">
        <w:rPr>
          <w:szCs w:val="24"/>
        </w:rPr>
        <w:t xml:space="preserve"> Joseph Rowntree Foundation (2021), </w:t>
      </w:r>
      <w:hyperlink r:id="rId153" w:history="1">
        <w:r w:rsidRPr="0020185C">
          <w:rPr>
            <w:rStyle w:val="Hyperlink"/>
            <w:color w:val="0B4E60" w:themeColor="text2"/>
            <w:szCs w:val="24"/>
          </w:rPr>
          <w:t>Keep the lifeline: why the Government should keep the £20 uplift to Universal Credit</w:t>
        </w:r>
      </w:hyperlink>
      <w:r>
        <w:rPr>
          <w:rStyle w:val="Hyperlink"/>
          <w:color w:val="0B4E60" w:themeColor="text2"/>
          <w:szCs w:val="24"/>
        </w:rPr>
        <w:t xml:space="preserve"> </w:t>
      </w:r>
      <w:r w:rsidRPr="00A61AFB">
        <w:rPr>
          <w:rFonts w:cs="Arial"/>
          <w:szCs w:val="24"/>
        </w:rPr>
        <w:t>[accessed 6 May 2021].</w:t>
      </w:r>
      <w:r w:rsidRPr="0020185C">
        <w:rPr>
          <w:szCs w:val="24"/>
        </w:rPr>
        <w:t xml:space="preserve"> See also: House of Commons Work and Pensions Committee (2020), </w:t>
      </w:r>
      <w:hyperlink r:id="rId154" w:history="1">
        <w:r w:rsidRPr="0020185C">
          <w:rPr>
            <w:rStyle w:val="Hyperlink"/>
            <w:color w:val="0B4E60" w:themeColor="text2"/>
            <w:szCs w:val="24"/>
          </w:rPr>
          <w:t>DWP’s response to the coronavirus outbreak</w:t>
        </w:r>
      </w:hyperlink>
      <w:r>
        <w:rPr>
          <w:rStyle w:val="Hyperlink"/>
          <w:color w:val="0B4E60" w:themeColor="text2"/>
          <w:szCs w:val="24"/>
        </w:rPr>
        <w:t xml:space="preserve"> </w:t>
      </w:r>
      <w:r w:rsidRPr="00A61AFB">
        <w:rPr>
          <w:rFonts w:cs="Arial"/>
          <w:szCs w:val="24"/>
        </w:rPr>
        <w:t>[accessed 6 May 2021].</w:t>
      </w:r>
    </w:p>
  </w:footnote>
  <w:footnote w:id="130">
    <w:p w14:paraId="759CFF5F" w14:textId="755398AB" w:rsidR="00193935" w:rsidRPr="00DC0252" w:rsidRDefault="00193935" w:rsidP="006C1E0B">
      <w:pPr>
        <w:rPr>
          <w:rFonts w:cs="Arial"/>
          <w:szCs w:val="24"/>
        </w:rPr>
      </w:pPr>
      <w:r w:rsidRPr="0020185C">
        <w:rPr>
          <w:rStyle w:val="FootnoteReference"/>
          <w:rFonts w:cs="Arial"/>
          <w:color w:val="0B4E60" w:themeColor="text2"/>
          <w:szCs w:val="24"/>
        </w:rPr>
        <w:footnoteRef/>
      </w:r>
      <w:r w:rsidRPr="0020185C">
        <w:rPr>
          <w:rFonts w:cs="Arial"/>
          <w:color w:val="0B4E60" w:themeColor="text2"/>
          <w:szCs w:val="24"/>
        </w:rPr>
        <w:t xml:space="preserve"> UN </w:t>
      </w:r>
      <w:hyperlink r:id="rId155" w:history="1">
        <w:r w:rsidRPr="0020185C">
          <w:rPr>
            <w:rStyle w:val="Hyperlink"/>
            <w:rFonts w:ascii="Arial" w:hAnsi="Arial" w:cs="Arial"/>
            <w:color w:val="0B4E60" w:themeColor="text2"/>
            <w:szCs w:val="24"/>
            <w:u w:val="none"/>
          </w:rPr>
          <w:t xml:space="preserve">Committee on the Rights of Persons with Disabilities (2017), </w:t>
        </w:r>
        <w:r w:rsidRPr="0020185C">
          <w:rPr>
            <w:rStyle w:val="Hyperlink"/>
            <w:rFonts w:ascii="Arial" w:hAnsi="Arial" w:cs="Arial"/>
            <w:color w:val="0B4E60" w:themeColor="text2"/>
            <w:szCs w:val="24"/>
          </w:rPr>
          <w:t xml:space="preserve">General comment No. 5 (2017) on living independently and being included in the community </w:t>
        </w:r>
        <w:r w:rsidRPr="0020185C">
          <w:rPr>
            <w:rFonts w:cs="Arial"/>
            <w:color w:val="0B4E60" w:themeColor="text2"/>
            <w:szCs w:val="24"/>
          </w:rPr>
          <w:t>[accessed 6 May 2021]</w:t>
        </w:r>
        <w:r w:rsidRPr="0020185C">
          <w:rPr>
            <w:rStyle w:val="Hyperlink"/>
            <w:rFonts w:ascii="Arial" w:hAnsi="Arial" w:cs="Arial"/>
            <w:color w:val="0B4E60" w:themeColor="text2"/>
            <w:szCs w:val="24"/>
            <w:u w:val="none"/>
          </w:rPr>
          <w:t>.</w:t>
        </w:r>
      </w:hyperlink>
      <w:r w:rsidRPr="0020185C">
        <w:rPr>
          <w:rFonts w:ascii="Arial" w:hAnsi="Arial" w:cs="Arial"/>
          <w:color w:val="0B4E60" w:themeColor="text2"/>
          <w:szCs w:val="24"/>
        </w:rPr>
        <w:t xml:space="preserve"> </w:t>
      </w:r>
    </w:p>
  </w:footnote>
  <w:footnote w:id="131">
    <w:p w14:paraId="22FDE5EF" w14:textId="4E9B5A1F" w:rsidR="00193935" w:rsidRPr="00DC0252" w:rsidRDefault="00193935" w:rsidP="00452363">
      <w:pPr>
        <w:pStyle w:val="FootnoteText"/>
        <w:rPr>
          <w:rFonts w:cs="Arial"/>
          <w:szCs w:val="24"/>
        </w:rPr>
      </w:pPr>
      <w:r w:rsidRPr="0020185C">
        <w:rPr>
          <w:rStyle w:val="FootnoteReference"/>
          <w:rFonts w:cs="Arial"/>
          <w:szCs w:val="24"/>
        </w:rPr>
        <w:footnoteRef/>
      </w:r>
      <w:r w:rsidRPr="0020185C">
        <w:rPr>
          <w:rFonts w:cs="Arial"/>
          <w:szCs w:val="24"/>
        </w:rPr>
        <w:t xml:space="preserve"> Equality and Human Rights Commission (2018), </w:t>
      </w:r>
      <w:hyperlink r:id="rId156" w:history="1">
        <w:r w:rsidRPr="0020185C">
          <w:rPr>
            <w:rStyle w:val="Hyperlink"/>
            <w:rFonts w:cs="Arial"/>
            <w:color w:val="0B4E60" w:themeColor="text2"/>
            <w:szCs w:val="24"/>
          </w:rPr>
          <w:t>Housing and disabled people: Britain’s hidden crisis</w:t>
        </w:r>
      </w:hyperlink>
      <w:r>
        <w:rPr>
          <w:rFonts w:cs="Arial"/>
          <w:szCs w:val="24"/>
        </w:rPr>
        <w:t xml:space="preserve"> </w:t>
      </w:r>
      <w:r w:rsidRPr="00A61AFB">
        <w:rPr>
          <w:rFonts w:cs="Arial"/>
          <w:szCs w:val="24"/>
        </w:rPr>
        <w:t>[accessed 6 May 2021].</w:t>
      </w:r>
    </w:p>
  </w:footnote>
  <w:footnote w:id="132">
    <w:p w14:paraId="016AD692" w14:textId="57437677" w:rsidR="00193935" w:rsidRPr="0020185C" w:rsidRDefault="00193935" w:rsidP="00452363">
      <w:pPr>
        <w:pStyle w:val="FootnoteText"/>
        <w:rPr>
          <w:szCs w:val="24"/>
        </w:rPr>
      </w:pPr>
      <w:r w:rsidRPr="0020185C">
        <w:rPr>
          <w:rStyle w:val="FootnoteReference"/>
          <w:rFonts w:ascii="Arial" w:hAnsi="Arial" w:cs="Arial"/>
          <w:szCs w:val="24"/>
        </w:rPr>
        <w:footnoteRef/>
      </w:r>
      <w:r w:rsidRPr="0020185C">
        <w:rPr>
          <w:szCs w:val="24"/>
        </w:rPr>
        <w:t xml:space="preserve"> Ministry of Housing, Communities and Local Government (2015), </w:t>
      </w:r>
      <w:hyperlink r:id="rId157" w:history="1">
        <w:r w:rsidRPr="0020185C">
          <w:rPr>
            <w:rStyle w:val="Hyperlink"/>
            <w:rFonts w:ascii="Arial" w:hAnsi="Arial" w:cs="Arial"/>
            <w:color w:val="0B4E60" w:themeColor="text2"/>
            <w:szCs w:val="24"/>
          </w:rPr>
          <w:t>Access to and use of buildings: Approved Document M</w:t>
        </w:r>
      </w:hyperlink>
      <w:r w:rsidRPr="0020185C">
        <w:rPr>
          <w:rStyle w:val="Hyperlink"/>
          <w:rFonts w:ascii="Arial" w:hAnsi="Arial" w:cs="Arial"/>
          <w:color w:val="0B4E60" w:themeColor="text2"/>
          <w:szCs w:val="24"/>
        </w:rPr>
        <w:t xml:space="preserve"> </w:t>
      </w:r>
      <w:r w:rsidRPr="0020185C">
        <w:rPr>
          <w:rFonts w:cs="Arial"/>
          <w:szCs w:val="24"/>
        </w:rPr>
        <w:t>[accessed 6 May 2021].</w:t>
      </w:r>
    </w:p>
  </w:footnote>
  <w:footnote w:id="133">
    <w:p w14:paraId="7AB66338" w14:textId="1D9ED2CD" w:rsidR="00193935" w:rsidRPr="001A78AA" w:rsidRDefault="00193935" w:rsidP="00452363">
      <w:pPr>
        <w:pStyle w:val="FootnoteText"/>
        <w:rPr>
          <w:rFonts w:cs="Arial"/>
        </w:rPr>
      </w:pPr>
      <w:r w:rsidRPr="0020185C">
        <w:rPr>
          <w:rStyle w:val="FootnoteReference"/>
          <w:rFonts w:cs="Arial"/>
          <w:szCs w:val="24"/>
        </w:rPr>
        <w:footnoteRef/>
      </w:r>
      <w:r w:rsidRPr="0020185C">
        <w:rPr>
          <w:rFonts w:cs="Arial"/>
          <w:szCs w:val="24"/>
        </w:rPr>
        <w:t xml:space="preserve"> </w:t>
      </w:r>
      <w:hyperlink r:id="rId158" w:history="1">
        <w:r w:rsidRPr="0020185C">
          <w:rPr>
            <w:rStyle w:val="Hyperlink"/>
            <w:rFonts w:cs="Arial"/>
            <w:color w:val="0B4E60" w:themeColor="text2"/>
            <w:szCs w:val="24"/>
            <w:u w:val="none"/>
          </w:rPr>
          <w:t xml:space="preserve">Centre for Ageing Better (2019), </w:t>
        </w:r>
        <w:r w:rsidRPr="0020185C">
          <w:rPr>
            <w:rStyle w:val="Hyperlink"/>
            <w:rFonts w:cs="Arial"/>
            <w:color w:val="0B4E60" w:themeColor="text2"/>
            <w:szCs w:val="24"/>
          </w:rPr>
          <w:t xml:space="preserve">Housing Made for Everyone (HoME): new coalition formed to tackle the lack of suitable housing </w:t>
        </w:r>
        <w:r w:rsidRPr="0020185C">
          <w:rPr>
            <w:rStyle w:val="Hyperlink"/>
            <w:rFonts w:cs="Arial"/>
            <w:color w:val="0B4E60" w:themeColor="text2"/>
            <w:szCs w:val="24"/>
            <w:u w:val="none"/>
          </w:rPr>
          <w:t>[accessed 15 January 2021].</w:t>
        </w:r>
      </w:hyperlink>
    </w:p>
  </w:footnote>
  <w:footnote w:id="134">
    <w:p w14:paraId="04CBF6AB" w14:textId="3F99F411" w:rsidR="00193935" w:rsidRPr="0020185C" w:rsidRDefault="00193935" w:rsidP="00452363">
      <w:pPr>
        <w:pStyle w:val="FootnoteText"/>
        <w:rPr>
          <w:rFonts w:cs="Arial"/>
          <w:szCs w:val="24"/>
        </w:rPr>
      </w:pPr>
      <w:r w:rsidRPr="0020185C">
        <w:rPr>
          <w:rStyle w:val="FootnoteReference"/>
          <w:rFonts w:cs="Arial"/>
          <w:szCs w:val="24"/>
        </w:rPr>
        <w:footnoteRef/>
      </w:r>
      <w:r w:rsidRPr="0020185C">
        <w:rPr>
          <w:rFonts w:cs="Arial"/>
          <w:szCs w:val="24"/>
        </w:rPr>
        <w:t xml:space="preserve"> Ibid.</w:t>
      </w:r>
    </w:p>
  </w:footnote>
  <w:footnote w:id="135">
    <w:p w14:paraId="1FC2A11D" w14:textId="4C588103" w:rsidR="00193935" w:rsidRPr="0020185C" w:rsidRDefault="00193935" w:rsidP="00452363">
      <w:pPr>
        <w:pStyle w:val="FootnoteText"/>
        <w:rPr>
          <w:rFonts w:cs="Arial"/>
          <w:szCs w:val="24"/>
        </w:rPr>
      </w:pPr>
      <w:r w:rsidRPr="0020185C">
        <w:rPr>
          <w:rStyle w:val="FootnoteReference"/>
          <w:rFonts w:cs="Arial"/>
          <w:szCs w:val="24"/>
        </w:rPr>
        <w:footnoteRef/>
      </w:r>
      <w:r w:rsidRPr="0020185C">
        <w:rPr>
          <w:rFonts w:cs="Arial"/>
          <w:szCs w:val="24"/>
        </w:rPr>
        <w:t xml:space="preserve"> </w:t>
      </w:r>
      <w:bookmarkStart w:id="60" w:name="_Hlk66782929"/>
      <w:r w:rsidRPr="0020185C">
        <w:rPr>
          <w:rFonts w:cs="Arial"/>
          <w:szCs w:val="24"/>
        </w:rPr>
        <w:t>E</w:t>
      </w:r>
      <w:r>
        <w:rPr>
          <w:rFonts w:cs="Arial"/>
          <w:szCs w:val="24"/>
        </w:rPr>
        <w:t xml:space="preserve">quality and </w:t>
      </w:r>
      <w:r w:rsidRPr="0020185C">
        <w:rPr>
          <w:rFonts w:cs="Arial"/>
          <w:szCs w:val="24"/>
        </w:rPr>
        <w:t>H</w:t>
      </w:r>
      <w:r>
        <w:rPr>
          <w:rFonts w:cs="Arial"/>
          <w:szCs w:val="24"/>
        </w:rPr>
        <w:t xml:space="preserve">uman </w:t>
      </w:r>
      <w:r w:rsidRPr="0020185C">
        <w:rPr>
          <w:rFonts w:cs="Arial"/>
          <w:szCs w:val="24"/>
        </w:rPr>
        <w:t>R</w:t>
      </w:r>
      <w:r>
        <w:rPr>
          <w:rFonts w:cs="Arial"/>
          <w:szCs w:val="24"/>
        </w:rPr>
        <w:t xml:space="preserve">ights </w:t>
      </w:r>
      <w:r w:rsidRPr="0020185C">
        <w:rPr>
          <w:rFonts w:cs="Arial"/>
          <w:szCs w:val="24"/>
        </w:rPr>
        <w:t>C</w:t>
      </w:r>
      <w:r>
        <w:rPr>
          <w:rFonts w:cs="Arial"/>
          <w:szCs w:val="24"/>
        </w:rPr>
        <w:t>ommission</w:t>
      </w:r>
      <w:r w:rsidRPr="0020185C">
        <w:rPr>
          <w:rFonts w:cs="Arial"/>
          <w:szCs w:val="24"/>
        </w:rPr>
        <w:t xml:space="preserve"> (2018), </w:t>
      </w:r>
      <w:hyperlink r:id="rId159" w:history="1">
        <w:r w:rsidRPr="0020185C">
          <w:rPr>
            <w:rStyle w:val="Hyperlink"/>
            <w:rFonts w:cs="Arial"/>
            <w:color w:val="0B4E60" w:themeColor="text2"/>
            <w:szCs w:val="24"/>
          </w:rPr>
          <w:t>Housing and disabled people: Britain’s hidden crisis</w:t>
        </w:r>
      </w:hyperlink>
      <w:r>
        <w:rPr>
          <w:rStyle w:val="Hyperlink"/>
          <w:rFonts w:cs="Arial"/>
          <w:color w:val="0B4E60" w:themeColor="text2"/>
          <w:szCs w:val="24"/>
        </w:rPr>
        <w:t xml:space="preserve"> </w:t>
      </w:r>
      <w:r w:rsidRPr="00A61AFB">
        <w:rPr>
          <w:rFonts w:cs="Arial"/>
          <w:szCs w:val="24"/>
        </w:rPr>
        <w:t>[accessed 6 May 2021].</w:t>
      </w:r>
    </w:p>
    <w:bookmarkEnd w:id="60"/>
  </w:footnote>
  <w:footnote w:id="136">
    <w:p w14:paraId="08ABA8B6" w14:textId="10351808" w:rsidR="00193935" w:rsidRPr="0020185C" w:rsidRDefault="00193935" w:rsidP="00452363">
      <w:pPr>
        <w:pStyle w:val="FootnoteText"/>
        <w:rPr>
          <w:rFonts w:cs="Arial"/>
          <w:szCs w:val="24"/>
        </w:rPr>
      </w:pPr>
      <w:r w:rsidRPr="0020185C">
        <w:rPr>
          <w:rStyle w:val="FootnoteReference"/>
          <w:rFonts w:cs="Arial"/>
          <w:szCs w:val="24"/>
        </w:rPr>
        <w:footnoteRef/>
      </w:r>
      <w:r w:rsidRPr="0020185C">
        <w:rPr>
          <w:rFonts w:cs="Arial"/>
          <w:szCs w:val="24"/>
        </w:rPr>
        <w:t xml:space="preserve"> Ibid.</w:t>
      </w:r>
    </w:p>
  </w:footnote>
  <w:footnote w:id="137">
    <w:p w14:paraId="3C73F30F" w14:textId="76C90EBB" w:rsidR="00193935" w:rsidRPr="0020185C" w:rsidRDefault="00193935" w:rsidP="00452363">
      <w:pPr>
        <w:pStyle w:val="FootnoteText"/>
        <w:rPr>
          <w:szCs w:val="24"/>
        </w:rPr>
      </w:pPr>
      <w:r w:rsidRPr="0020185C">
        <w:rPr>
          <w:rStyle w:val="FootnoteReference"/>
          <w:szCs w:val="24"/>
        </w:rPr>
        <w:footnoteRef/>
      </w:r>
      <w:r w:rsidRPr="0020185C">
        <w:rPr>
          <w:szCs w:val="24"/>
        </w:rPr>
        <w:t xml:space="preserve"> At the time of writing – March 2021. See </w:t>
      </w:r>
      <w:hyperlink r:id="rId160" w:history="1">
        <w:r w:rsidRPr="0020185C">
          <w:rPr>
            <w:rStyle w:val="Hyperlink"/>
            <w:color w:val="0B4E60" w:themeColor="text2"/>
            <w:szCs w:val="24"/>
          </w:rPr>
          <w:t>Equality Act</w:t>
        </w:r>
      </w:hyperlink>
      <w:r>
        <w:rPr>
          <w:rStyle w:val="Hyperlink"/>
          <w:color w:val="0B4E60" w:themeColor="text2"/>
          <w:szCs w:val="24"/>
        </w:rPr>
        <w:t xml:space="preserve"> 2010: Section 36 </w:t>
      </w:r>
      <w:r w:rsidRPr="00A61AFB">
        <w:rPr>
          <w:rFonts w:cs="Arial"/>
          <w:szCs w:val="24"/>
        </w:rPr>
        <w:t>[accessed 6 May 2021].</w:t>
      </w:r>
    </w:p>
  </w:footnote>
  <w:footnote w:id="138">
    <w:p w14:paraId="47404EFB" w14:textId="18995493" w:rsidR="00193935" w:rsidRPr="0020185C" w:rsidRDefault="00193935" w:rsidP="00452363">
      <w:pPr>
        <w:pStyle w:val="FootnoteText"/>
        <w:rPr>
          <w:rFonts w:cs="Arial"/>
          <w:szCs w:val="24"/>
        </w:rPr>
      </w:pPr>
      <w:r w:rsidRPr="0020185C">
        <w:rPr>
          <w:rStyle w:val="FootnoteReference"/>
          <w:rFonts w:cs="Arial"/>
          <w:szCs w:val="24"/>
        </w:rPr>
        <w:footnoteRef/>
      </w:r>
      <w:r w:rsidRPr="0020185C">
        <w:rPr>
          <w:rFonts w:cs="Arial"/>
          <w:szCs w:val="24"/>
        </w:rPr>
        <w:t xml:space="preserve"> E</w:t>
      </w:r>
      <w:r>
        <w:rPr>
          <w:rFonts w:cs="Arial"/>
          <w:szCs w:val="24"/>
        </w:rPr>
        <w:t xml:space="preserve">quality and </w:t>
      </w:r>
      <w:r w:rsidRPr="0020185C">
        <w:rPr>
          <w:rFonts w:cs="Arial"/>
          <w:szCs w:val="24"/>
        </w:rPr>
        <w:t>H</w:t>
      </w:r>
      <w:r>
        <w:rPr>
          <w:rFonts w:cs="Arial"/>
          <w:szCs w:val="24"/>
        </w:rPr>
        <w:t xml:space="preserve">uman </w:t>
      </w:r>
      <w:r w:rsidRPr="0020185C">
        <w:rPr>
          <w:rFonts w:cs="Arial"/>
          <w:szCs w:val="24"/>
        </w:rPr>
        <w:t>R</w:t>
      </w:r>
      <w:r>
        <w:rPr>
          <w:rFonts w:cs="Arial"/>
          <w:szCs w:val="24"/>
        </w:rPr>
        <w:t xml:space="preserve">ights </w:t>
      </w:r>
      <w:r w:rsidRPr="0020185C">
        <w:rPr>
          <w:rFonts w:cs="Arial"/>
          <w:szCs w:val="24"/>
        </w:rPr>
        <w:t>C</w:t>
      </w:r>
      <w:r>
        <w:rPr>
          <w:rFonts w:cs="Arial"/>
          <w:szCs w:val="24"/>
        </w:rPr>
        <w:t>ommission</w:t>
      </w:r>
      <w:r w:rsidRPr="0020185C">
        <w:rPr>
          <w:rFonts w:cs="Arial"/>
          <w:szCs w:val="24"/>
        </w:rPr>
        <w:t xml:space="preserve"> (2018), </w:t>
      </w:r>
      <w:hyperlink r:id="rId161" w:history="1">
        <w:r w:rsidRPr="0020185C">
          <w:rPr>
            <w:rStyle w:val="Hyperlink"/>
            <w:rFonts w:cs="Arial"/>
            <w:color w:val="0B4E60" w:themeColor="text2"/>
            <w:szCs w:val="24"/>
          </w:rPr>
          <w:t>Housing and disabled people: Britain’s hidden crisis</w:t>
        </w:r>
      </w:hyperlink>
      <w:r>
        <w:rPr>
          <w:rStyle w:val="Hyperlink"/>
          <w:rFonts w:cs="Arial"/>
          <w:color w:val="0B4E60" w:themeColor="text2"/>
          <w:szCs w:val="24"/>
        </w:rPr>
        <w:t xml:space="preserve"> </w:t>
      </w:r>
      <w:r w:rsidRPr="00A61AFB">
        <w:rPr>
          <w:rFonts w:cs="Arial"/>
          <w:szCs w:val="24"/>
        </w:rPr>
        <w:t>[accessed 6 May 2021].</w:t>
      </w:r>
    </w:p>
  </w:footnote>
  <w:footnote w:id="139">
    <w:p w14:paraId="2236E227" w14:textId="594BE96B" w:rsidR="00193935" w:rsidRPr="005C65BC" w:rsidRDefault="00193935" w:rsidP="001A0636">
      <w:pPr>
        <w:pStyle w:val="FootnoteText"/>
        <w:rPr>
          <w:rFonts w:cs="Arial"/>
          <w:sz w:val="20"/>
        </w:rPr>
      </w:pPr>
      <w:r w:rsidRPr="0020185C">
        <w:rPr>
          <w:rStyle w:val="FootnoteReference"/>
          <w:rFonts w:cs="Arial"/>
          <w:szCs w:val="24"/>
        </w:rPr>
        <w:footnoteRef/>
      </w:r>
      <w:r w:rsidRPr="0020185C">
        <w:rPr>
          <w:rFonts w:cs="Arial"/>
          <w:szCs w:val="24"/>
        </w:rPr>
        <w:t xml:space="preserve"> Department for Transport (2018), </w:t>
      </w:r>
      <w:hyperlink r:id="rId162" w:history="1">
        <w:r w:rsidRPr="0020185C">
          <w:rPr>
            <w:rStyle w:val="Hyperlink"/>
            <w:rFonts w:cs="Arial"/>
            <w:color w:val="0B4E60" w:themeColor="text2"/>
            <w:szCs w:val="24"/>
          </w:rPr>
          <w:t>Inclusive Transport Strategy</w:t>
        </w:r>
      </w:hyperlink>
      <w:r>
        <w:rPr>
          <w:rFonts w:cs="Arial"/>
          <w:szCs w:val="24"/>
        </w:rPr>
        <w:t xml:space="preserve"> </w:t>
      </w:r>
      <w:r w:rsidRPr="00A61AFB">
        <w:rPr>
          <w:rFonts w:cs="Arial"/>
          <w:szCs w:val="24"/>
        </w:rPr>
        <w:t>[accessed 6 May 2021].</w:t>
      </w:r>
    </w:p>
  </w:footnote>
  <w:footnote w:id="140">
    <w:p w14:paraId="63955351" w14:textId="300F22D3" w:rsidR="00193935" w:rsidRPr="00BD17F0" w:rsidRDefault="00193935" w:rsidP="005C65BC">
      <w:pPr>
        <w:pStyle w:val="FootnoteText"/>
        <w:rPr>
          <w:szCs w:val="24"/>
        </w:rPr>
      </w:pPr>
      <w:r w:rsidRPr="00BD17F0">
        <w:rPr>
          <w:rStyle w:val="FootnoteReference"/>
          <w:szCs w:val="24"/>
        </w:rPr>
        <w:footnoteRef/>
      </w:r>
      <w:r w:rsidRPr="00BD17F0">
        <w:rPr>
          <w:szCs w:val="24"/>
        </w:rPr>
        <w:t xml:space="preserve"> </w:t>
      </w:r>
      <w:hyperlink r:id="rId163" w:history="1">
        <w:r w:rsidR="00BD17F0" w:rsidRPr="00BD17F0">
          <w:rPr>
            <w:rStyle w:val="Hyperlink"/>
            <w:color w:val="0B4E60" w:themeColor="text2"/>
            <w:szCs w:val="24"/>
            <w:u w:val="none"/>
          </w:rPr>
          <w:t xml:space="preserve">Dempsey, N. (2019), </w:t>
        </w:r>
        <w:r w:rsidRPr="00BD17F0">
          <w:rPr>
            <w:rStyle w:val="Hyperlink"/>
            <w:color w:val="0B4E60" w:themeColor="text2"/>
            <w:szCs w:val="24"/>
          </w:rPr>
          <w:t xml:space="preserve">How accessible </w:t>
        </w:r>
        <w:r w:rsidR="00BD17F0">
          <w:rPr>
            <w:rStyle w:val="Hyperlink"/>
            <w:color w:val="0B4E60" w:themeColor="text2"/>
            <w:szCs w:val="24"/>
          </w:rPr>
          <w:t>are Britain’s railway stations?</w:t>
        </w:r>
        <w:r w:rsidRPr="00BD17F0">
          <w:rPr>
            <w:rStyle w:val="Hyperlink"/>
            <w:color w:val="0B4E60" w:themeColor="text2"/>
            <w:szCs w:val="24"/>
          </w:rPr>
          <w:t xml:space="preserve"> House of Commons</w:t>
        </w:r>
        <w:r w:rsidR="00BD17F0">
          <w:rPr>
            <w:rStyle w:val="Hyperlink"/>
            <w:color w:val="0B4E60" w:themeColor="text2"/>
            <w:szCs w:val="24"/>
          </w:rPr>
          <w:t xml:space="preserve"> Insight, 25 February </w:t>
        </w:r>
        <w:r w:rsidR="00BD17F0" w:rsidRPr="00BD17F0">
          <w:rPr>
            <w:rStyle w:val="Hyperlink"/>
            <w:color w:val="0B4E60" w:themeColor="text2"/>
            <w:szCs w:val="24"/>
            <w:u w:val="none"/>
          </w:rPr>
          <w:t>[accessed</w:t>
        </w:r>
        <w:r w:rsidRPr="00BD17F0">
          <w:rPr>
            <w:rStyle w:val="Hyperlink"/>
            <w:color w:val="0B4E60" w:themeColor="text2"/>
            <w:szCs w:val="24"/>
            <w:u w:val="none"/>
          </w:rPr>
          <w:t xml:space="preserve"> 16 March 2021].</w:t>
        </w:r>
      </w:hyperlink>
      <w:r w:rsidRPr="00BD17F0">
        <w:rPr>
          <w:szCs w:val="24"/>
        </w:rPr>
        <w:t xml:space="preserve"> See also: Department for Transport (2019), </w:t>
      </w:r>
      <w:hyperlink r:id="rId164" w:history="1">
        <w:r w:rsidRPr="00BD17F0">
          <w:rPr>
            <w:rStyle w:val="Hyperlink"/>
            <w:color w:val="0B4E60" w:themeColor="text2"/>
            <w:szCs w:val="24"/>
          </w:rPr>
          <w:t>Research on experiences of disabled rail passengers</w:t>
        </w:r>
      </w:hyperlink>
      <w:r w:rsidR="00BD17F0">
        <w:rPr>
          <w:rStyle w:val="Hyperlink"/>
          <w:color w:val="0B4E60" w:themeColor="text2"/>
          <w:szCs w:val="24"/>
        </w:rPr>
        <w:t xml:space="preserve"> </w:t>
      </w:r>
      <w:r w:rsidR="00BD17F0" w:rsidRPr="00BD17F0">
        <w:rPr>
          <w:rStyle w:val="Hyperlink"/>
          <w:color w:val="0B4E60" w:themeColor="text2"/>
          <w:szCs w:val="24"/>
          <w:u w:val="none"/>
        </w:rPr>
        <w:t>[accessed 16 March 2021]</w:t>
      </w:r>
      <w:r w:rsidRPr="00BD17F0">
        <w:rPr>
          <w:szCs w:val="24"/>
        </w:rPr>
        <w:t>.</w:t>
      </w:r>
    </w:p>
  </w:footnote>
  <w:footnote w:id="141">
    <w:p w14:paraId="72AA28E8" w14:textId="2319F8C1" w:rsidR="00193935" w:rsidRPr="00BD17F0" w:rsidRDefault="00193935" w:rsidP="005C65BC">
      <w:pPr>
        <w:pStyle w:val="FootnoteText"/>
        <w:rPr>
          <w:szCs w:val="24"/>
        </w:rPr>
      </w:pPr>
      <w:r w:rsidRPr="00BD17F0">
        <w:rPr>
          <w:rStyle w:val="FootnoteReference"/>
          <w:szCs w:val="24"/>
        </w:rPr>
        <w:footnoteRef/>
      </w:r>
      <w:r w:rsidRPr="00BD17F0">
        <w:rPr>
          <w:szCs w:val="24"/>
        </w:rPr>
        <w:t xml:space="preserve"> </w:t>
      </w:r>
      <w:hyperlink r:id="rId165" w:history="1">
        <w:r w:rsidRPr="00BD17F0">
          <w:rPr>
            <w:rStyle w:val="Hyperlink"/>
            <w:rFonts w:cs="Arial"/>
            <w:color w:val="0B4E60" w:themeColor="text2"/>
            <w:szCs w:val="24"/>
            <w:u w:val="none"/>
          </w:rPr>
          <w:t xml:space="preserve">Department for Transport (2018), </w:t>
        </w:r>
        <w:r w:rsidRPr="00BD17F0">
          <w:rPr>
            <w:rStyle w:val="Hyperlink"/>
            <w:color w:val="0B4E60" w:themeColor="text2"/>
            <w:szCs w:val="24"/>
          </w:rPr>
          <w:t>Inclusive Transport Strategy</w:t>
        </w:r>
      </w:hyperlink>
      <w:r w:rsidR="00BD17F0">
        <w:rPr>
          <w:rStyle w:val="Hyperlink"/>
          <w:color w:val="0B4E60" w:themeColor="text2"/>
          <w:szCs w:val="24"/>
        </w:rPr>
        <w:t xml:space="preserve"> </w:t>
      </w:r>
      <w:r w:rsidR="00BD17F0" w:rsidRPr="00BD17F0">
        <w:rPr>
          <w:rStyle w:val="Hyperlink"/>
          <w:color w:val="0B4E60" w:themeColor="text2"/>
          <w:szCs w:val="24"/>
          <w:u w:val="none"/>
        </w:rPr>
        <w:t>[accessed 16 March 2021]</w:t>
      </w:r>
      <w:r w:rsidRPr="00BD17F0">
        <w:rPr>
          <w:szCs w:val="24"/>
        </w:rPr>
        <w:t xml:space="preserve">. See also: </w:t>
      </w:r>
      <w:r w:rsidRPr="00BD17F0">
        <w:rPr>
          <w:rFonts w:cs="Arial"/>
          <w:szCs w:val="24"/>
        </w:rPr>
        <w:t xml:space="preserve">London Assembly Transport Committee (2020), </w:t>
      </w:r>
      <w:hyperlink r:id="rId166" w:history="1">
        <w:r w:rsidRPr="00BD17F0">
          <w:rPr>
            <w:rStyle w:val="Hyperlink"/>
            <w:rFonts w:cs="Arial"/>
            <w:color w:val="0B4E60" w:themeColor="text2"/>
            <w:szCs w:val="24"/>
          </w:rPr>
          <w:t>From step-free to stress-free</w:t>
        </w:r>
      </w:hyperlink>
      <w:r w:rsidRPr="00BD17F0">
        <w:rPr>
          <w:rStyle w:val="Hyperlink"/>
          <w:rFonts w:cs="Arial"/>
          <w:color w:val="0B4E60" w:themeColor="text2"/>
          <w:szCs w:val="24"/>
        </w:rPr>
        <w:t>: Accessible and inclusive transport in London</w:t>
      </w:r>
      <w:r w:rsidRPr="00BD17F0">
        <w:rPr>
          <w:rFonts w:cs="Arial"/>
          <w:szCs w:val="24"/>
        </w:rPr>
        <w:t>, p</w:t>
      </w:r>
      <w:r w:rsidR="00BD17F0">
        <w:rPr>
          <w:rFonts w:cs="Arial"/>
          <w:szCs w:val="24"/>
        </w:rPr>
        <w:t xml:space="preserve">age 30 </w:t>
      </w:r>
      <w:r w:rsidR="00BD17F0" w:rsidRPr="00BD17F0">
        <w:rPr>
          <w:rFonts w:cs="Arial"/>
          <w:szCs w:val="24"/>
        </w:rPr>
        <w:t>[accessed 16 March 2021].</w:t>
      </w:r>
    </w:p>
  </w:footnote>
  <w:footnote w:id="142">
    <w:p w14:paraId="2CEC8047" w14:textId="70DA5F9A" w:rsidR="00193935" w:rsidRPr="00BD17F0" w:rsidRDefault="00193935" w:rsidP="005C65BC">
      <w:pPr>
        <w:pStyle w:val="FootnoteText"/>
        <w:rPr>
          <w:rFonts w:cs="Arial"/>
          <w:szCs w:val="24"/>
        </w:rPr>
      </w:pPr>
      <w:r w:rsidRPr="00BD17F0">
        <w:rPr>
          <w:rStyle w:val="FootnoteReference"/>
          <w:rFonts w:cs="Arial"/>
          <w:szCs w:val="24"/>
        </w:rPr>
        <w:footnoteRef/>
      </w:r>
      <w:r w:rsidRPr="00BD17F0">
        <w:rPr>
          <w:rFonts w:cs="Arial"/>
          <w:szCs w:val="24"/>
        </w:rPr>
        <w:t xml:space="preserve"> Department for Transport, (December 2020), </w:t>
      </w:r>
      <w:hyperlink r:id="rId167" w:history="1">
        <w:r w:rsidRPr="00BD17F0">
          <w:rPr>
            <w:rStyle w:val="Hyperlink"/>
            <w:rFonts w:cs="Arial"/>
            <w:color w:val="0B4E60" w:themeColor="text2"/>
            <w:szCs w:val="24"/>
          </w:rPr>
          <w:t>Taxis, private hire vehicles and their drivers (table TAXI0102)</w:t>
        </w:r>
        <w:r w:rsidR="00BD17F0">
          <w:rPr>
            <w:rStyle w:val="Hyperlink"/>
            <w:rFonts w:cs="Arial"/>
            <w:color w:val="0B4E60" w:themeColor="text2"/>
            <w:szCs w:val="24"/>
          </w:rPr>
          <w:t xml:space="preserve"> </w:t>
        </w:r>
        <w:r w:rsidR="00BD17F0" w:rsidRPr="00BD17F0">
          <w:rPr>
            <w:rStyle w:val="Hyperlink"/>
            <w:rFonts w:cs="Arial"/>
            <w:color w:val="0B4E60" w:themeColor="text2"/>
            <w:szCs w:val="24"/>
            <w:u w:val="none"/>
          </w:rPr>
          <w:t>[accessed 16 March 2021]</w:t>
        </w:r>
        <w:r w:rsidRPr="00BD17F0">
          <w:rPr>
            <w:rStyle w:val="Hyperlink"/>
            <w:rFonts w:cs="Arial"/>
            <w:color w:val="0B4E60" w:themeColor="text2"/>
            <w:szCs w:val="24"/>
            <w:u w:val="none"/>
          </w:rPr>
          <w:t>.</w:t>
        </w:r>
      </w:hyperlink>
    </w:p>
  </w:footnote>
  <w:footnote w:id="143">
    <w:p w14:paraId="0801EAD4" w14:textId="11F3AB22" w:rsidR="00193935" w:rsidRPr="00BD17F0" w:rsidRDefault="00193935" w:rsidP="005C65BC">
      <w:pPr>
        <w:pStyle w:val="FootnoteText"/>
        <w:rPr>
          <w:rFonts w:cs="Arial"/>
          <w:szCs w:val="24"/>
        </w:rPr>
      </w:pPr>
      <w:r w:rsidRPr="00BD17F0">
        <w:rPr>
          <w:rStyle w:val="FootnoteReference"/>
          <w:rFonts w:cs="Arial"/>
          <w:szCs w:val="24"/>
        </w:rPr>
        <w:footnoteRef/>
      </w:r>
      <w:r w:rsidRPr="00BD17F0">
        <w:rPr>
          <w:rFonts w:cs="Arial"/>
          <w:szCs w:val="24"/>
        </w:rPr>
        <w:t xml:space="preserve"> </w:t>
      </w:r>
      <w:hyperlink r:id="rId168" w:history="1">
        <w:r w:rsidRPr="00BD17F0">
          <w:rPr>
            <w:rStyle w:val="Hyperlink"/>
            <w:rFonts w:cs="Arial"/>
            <w:color w:val="0B4E60" w:themeColor="text2"/>
            <w:szCs w:val="24"/>
          </w:rPr>
          <w:t>Sections 160–167 of the Equality Act 2010</w:t>
        </w:r>
        <w:r w:rsidR="00BD17F0" w:rsidRPr="00BD17F0">
          <w:rPr>
            <w:rStyle w:val="Hyperlink"/>
            <w:rFonts w:cs="Arial"/>
            <w:color w:val="0B4E60" w:themeColor="text2"/>
            <w:szCs w:val="24"/>
            <w:u w:val="none"/>
          </w:rPr>
          <w:t xml:space="preserve"> [accessed 16 March 2021]</w:t>
        </w:r>
        <w:r w:rsidRPr="00BD17F0">
          <w:rPr>
            <w:rStyle w:val="Hyperlink"/>
            <w:rFonts w:cs="Arial"/>
            <w:color w:val="0B4E60" w:themeColor="text2"/>
            <w:szCs w:val="24"/>
            <w:u w:val="none"/>
          </w:rPr>
          <w:t>.</w:t>
        </w:r>
      </w:hyperlink>
    </w:p>
  </w:footnote>
  <w:footnote w:id="144">
    <w:p w14:paraId="2B93A47C" w14:textId="584CD75E" w:rsidR="00193935" w:rsidRPr="00DC0252" w:rsidRDefault="00193935" w:rsidP="005C65BC">
      <w:pPr>
        <w:pStyle w:val="FootnoteText"/>
        <w:rPr>
          <w:rFonts w:cs="Arial"/>
          <w:szCs w:val="24"/>
        </w:rPr>
      </w:pPr>
      <w:r w:rsidRPr="00BD17F0">
        <w:rPr>
          <w:rStyle w:val="FootnoteReference"/>
          <w:rFonts w:cs="Arial"/>
          <w:szCs w:val="24"/>
        </w:rPr>
        <w:footnoteRef/>
      </w:r>
      <w:r w:rsidRPr="00BD17F0">
        <w:rPr>
          <w:rFonts w:cs="Arial"/>
          <w:szCs w:val="24"/>
        </w:rPr>
        <w:t xml:space="preserve"> Scope (2019), </w:t>
      </w:r>
      <w:hyperlink r:id="rId169" w:history="1">
        <w:r w:rsidRPr="00BD17F0">
          <w:rPr>
            <w:rStyle w:val="Hyperlink"/>
            <w:rFonts w:cs="Arial"/>
            <w:color w:val="0B4E60" w:themeColor="text2"/>
            <w:szCs w:val="24"/>
          </w:rPr>
          <w:t>Travel fair</w:t>
        </w:r>
      </w:hyperlink>
      <w:r w:rsidR="00BD17F0" w:rsidRPr="00BD17F0">
        <w:t xml:space="preserve"> </w:t>
      </w:r>
      <w:r w:rsidR="00BD17F0" w:rsidRPr="00BD17F0">
        <w:rPr>
          <w:rFonts w:cs="Arial"/>
          <w:szCs w:val="24"/>
        </w:rPr>
        <w:t>[accessed 16 March 2021].</w:t>
      </w:r>
      <w:r w:rsidRPr="00BD17F0">
        <w:rPr>
          <w:rFonts w:cs="Arial"/>
          <w:szCs w:val="24"/>
        </w:rPr>
        <w:t xml:space="preserve"> </w:t>
      </w:r>
    </w:p>
  </w:footnote>
  <w:footnote w:id="145">
    <w:p w14:paraId="5F59446D" w14:textId="0BD98105" w:rsidR="00193935" w:rsidRPr="00193935" w:rsidRDefault="00193935" w:rsidP="005C65BC">
      <w:pPr>
        <w:pStyle w:val="FootnoteText"/>
        <w:rPr>
          <w:szCs w:val="24"/>
        </w:rPr>
      </w:pPr>
      <w:r w:rsidRPr="00193935">
        <w:rPr>
          <w:rStyle w:val="FootnoteReference"/>
          <w:szCs w:val="24"/>
        </w:rPr>
        <w:footnoteRef/>
      </w:r>
      <w:r w:rsidRPr="00193935">
        <w:rPr>
          <w:szCs w:val="24"/>
        </w:rPr>
        <w:t xml:space="preserve"> </w:t>
      </w:r>
      <w:hyperlink r:id="rId170" w:history="1">
        <w:r w:rsidRPr="00193935">
          <w:rPr>
            <w:rStyle w:val="Hyperlink"/>
            <w:color w:val="0B4E60" w:themeColor="text2"/>
            <w:szCs w:val="24"/>
          </w:rPr>
          <w:t>UN Convention on the Rights of the Child,</w:t>
        </w:r>
      </w:hyperlink>
      <w:r>
        <w:rPr>
          <w:szCs w:val="24"/>
        </w:rPr>
        <w:t xml:space="preserve"> Article 3 [accessed 6 May 2021].</w:t>
      </w:r>
    </w:p>
  </w:footnote>
  <w:footnote w:id="146">
    <w:p w14:paraId="7EA301B4" w14:textId="30552A77" w:rsidR="00193935" w:rsidRPr="00DC0252" w:rsidRDefault="00193935" w:rsidP="005C65BC">
      <w:pPr>
        <w:pStyle w:val="FootnoteText"/>
        <w:rPr>
          <w:rFonts w:cs="Arial"/>
          <w:szCs w:val="24"/>
        </w:rPr>
      </w:pPr>
      <w:r w:rsidRPr="00193935">
        <w:rPr>
          <w:rStyle w:val="FootnoteReference"/>
          <w:rFonts w:cs="Arial"/>
          <w:szCs w:val="24"/>
        </w:rPr>
        <w:footnoteRef/>
      </w:r>
      <w:r w:rsidRPr="00193935">
        <w:rPr>
          <w:rFonts w:cs="Arial"/>
          <w:szCs w:val="24"/>
        </w:rPr>
        <w:t xml:space="preserve"> House of Commons Women and Equalities Committee (22 September 2020), </w:t>
      </w:r>
      <w:hyperlink r:id="rId171" w:history="1">
        <w:r w:rsidRPr="00193935">
          <w:rPr>
            <w:rStyle w:val="Hyperlink"/>
            <w:rFonts w:cs="Arial"/>
            <w:color w:val="0B4E60" w:themeColor="text2"/>
            <w:szCs w:val="24"/>
          </w:rPr>
          <w:t>Unequal impact? Coronavirus, disability and access to services: interim report on temporary provisions in the Coronavirus Act</w:t>
        </w:r>
      </w:hyperlink>
      <w:r>
        <w:rPr>
          <w:rFonts w:cs="Arial"/>
          <w:szCs w:val="24"/>
        </w:rPr>
        <w:t xml:space="preserve"> </w:t>
      </w:r>
      <w:r>
        <w:rPr>
          <w:szCs w:val="24"/>
        </w:rPr>
        <w:t>[accessed 6 May 2021].</w:t>
      </w:r>
    </w:p>
  </w:footnote>
  <w:footnote w:id="147">
    <w:p w14:paraId="6D51EBC9" w14:textId="30C994C2" w:rsidR="00193935" w:rsidRPr="00193935" w:rsidRDefault="00193935" w:rsidP="005C65BC">
      <w:pPr>
        <w:pStyle w:val="FootnoteText"/>
        <w:rPr>
          <w:szCs w:val="24"/>
        </w:rPr>
      </w:pPr>
      <w:bookmarkStart w:id="63" w:name="_Hlk66612730"/>
      <w:r w:rsidRPr="00193935">
        <w:rPr>
          <w:rStyle w:val="FootnoteReference"/>
          <w:rFonts w:ascii="Arial" w:hAnsi="Arial" w:cs="Arial"/>
          <w:szCs w:val="24"/>
        </w:rPr>
        <w:footnoteRef/>
      </w:r>
      <w:r w:rsidRPr="00193935">
        <w:rPr>
          <w:szCs w:val="24"/>
        </w:rPr>
        <w:t xml:space="preserve"> Equality and Human Rights Commission (2018), </w:t>
      </w:r>
      <w:hyperlink r:id="rId172" w:history="1">
        <w:r w:rsidRPr="00193935">
          <w:rPr>
            <w:rStyle w:val="Hyperlink"/>
            <w:rFonts w:ascii="Arial" w:hAnsi="Arial" w:cs="Arial"/>
            <w:color w:val="0B4E60" w:themeColor="text2"/>
            <w:szCs w:val="24"/>
          </w:rPr>
          <w:t>Housing and disabled people: Britain’s hidden crisis</w:t>
        </w:r>
      </w:hyperlink>
      <w:r w:rsidRPr="00193935">
        <w:rPr>
          <w:rStyle w:val="Hyperlink"/>
          <w:rFonts w:ascii="Arial" w:hAnsi="Arial" w:cs="Arial"/>
          <w:color w:val="0B4E60" w:themeColor="text2"/>
          <w:szCs w:val="24"/>
        </w:rPr>
        <w:t xml:space="preserve"> </w:t>
      </w:r>
      <w:r w:rsidRPr="00193935">
        <w:rPr>
          <w:szCs w:val="24"/>
        </w:rPr>
        <w:t>[accessed 6 May 2021]</w:t>
      </w:r>
      <w:r w:rsidRPr="00193935">
        <w:rPr>
          <w:rStyle w:val="Hyperlink"/>
          <w:rFonts w:ascii="Arial" w:hAnsi="Arial" w:cs="Arial"/>
          <w:color w:val="0B4E60" w:themeColor="text2"/>
          <w:szCs w:val="24"/>
          <w:u w:val="none"/>
        </w:rPr>
        <w:t xml:space="preserve">. See also: </w:t>
      </w:r>
      <w:r>
        <w:rPr>
          <w:szCs w:val="24"/>
        </w:rPr>
        <w:t xml:space="preserve">Ministry of </w:t>
      </w:r>
      <w:r w:rsidRPr="00193935">
        <w:rPr>
          <w:szCs w:val="24"/>
        </w:rPr>
        <w:t xml:space="preserve">Housing, Communities and Local Government </w:t>
      </w:r>
      <w:r w:rsidRPr="00193935">
        <w:rPr>
          <w:rStyle w:val="Hyperlink"/>
          <w:rFonts w:ascii="Arial" w:hAnsi="Arial" w:cs="Arial"/>
          <w:color w:val="0B4E60" w:themeColor="text2"/>
          <w:szCs w:val="24"/>
          <w:u w:val="none"/>
        </w:rPr>
        <w:t xml:space="preserve">(2020), </w:t>
      </w:r>
      <w:hyperlink r:id="rId173" w:history="1">
        <w:r w:rsidRPr="00193935">
          <w:rPr>
            <w:rStyle w:val="Hyperlink"/>
            <w:rFonts w:ascii="Arial" w:hAnsi="Arial" w:cs="Arial"/>
            <w:color w:val="0B4E60" w:themeColor="text2"/>
            <w:szCs w:val="24"/>
          </w:rPr>
          <w:t>Raising accessibility standards for new homes: consultation response</w:t>
        </w:r>
      </w:hyperlink>
      <w:r w:rsidRPr="00193935">
        <w:rPr>
          <w:rFonts w:ascii="Arial" w:hAnsi="Arial" w:cs="Arial"/>
          <w:szCs w:val="24"/>
          <w:u w:color="009C98" w:themeColor="accent1"/>
        </w:rPr>
        <w:t xml:space="preserve"> </w:t>
      </w:r>
      <w:r w:rsidRPr="00193935">
        <w:rPr>
          <w:szCs w:val="24"/>
        </w:rPr>
        <w:t>[accessed 6 May 2021].</w:t>
      </w:r>
    </w:p>
    <w:bookmarkEnd w:id="63"/>
    <w:p w14:paraId="7ACF7E72" w14:textId="77777777" w:rsidR="00193935" w:rsidRPr="001A78AA" w:rsidRDefault="00193935" w:rsidP="005C65BC">
      <w:pPr>
        <w:pStyle w:val="FootnoteText"/>
        <w:rPr>
          <w:rFonts w:cs="Arial"/>
        </w:rPr>
      </w:pPr>
    </w:p>
  </w:footnote>
  <w:footnote w:id="148">
    <w:p w14:paraId="0953AE4D" w14:textId="1F00DD5A" w:rsidR="00193935" w:rsidRDefault="00193935">
      <w:pPr>
        <w:pStyle w:val="FootnoteText"/>
      </w:pPr>
      <w:r w:rsidRPr="00193935">
        <w:rPr>
          <w:rStyle w:val="FootnoteReference"/>
        </w:rPr>
        <w:footnoteRef/>
      </w:r>
      <w:r w:rsidRPr="00193935">
        <w:t xml:space="preserve"> Department for Transport (2019), </w:t>
      </w:r>
      <w:hyperlink r:id="rId174" w:history="1">
        <w:r w:rsidRPr="00193935">
          <w:rPr>
            <w:rStyle w:val="Hyperlink"/>
            <w:color w:val="0B4E60" w:themeColor="text2"/>
          </w:rPr>
          <w:t>The Williams Rail Review</w:t>
        </w:r>
      </w:hyperlink>
      <w:r w:rsidRPr="00193935">
        <w:rPr>
          <w:rStyle w:val="Hyperlink"/>
          <w:color w:val="0B4E60" w:themeColor="text2"/>
        </w:rPr>
        <w:t xml:space="preserve"> </w:t>
      </w:r>
      <w:r w:rsidRPr="00193935">
        <w:rPr>
          <w:rStyle w:val="Hyperlink"/>
          <w:color w:val="0B4E60" w:themeColor="text2"/>
          <w:u w:val="none"/>
        </w:rPr>
        <w:t>[accessed 6 May 2021]</w:t>
      </w:r>
    </w:p>
  </w:footnote>
  <w:footnote w:id="149">
    <w:p w14:paraId="1D0AB401" w14:textId="2E7D1B28" w:rsidR="00193935" w:rsidRPr="008C1DD9" w:rsidRDefault="00193935" w:rsidP="001E1BD1">
      <w:pPr>
        <w:pStyle w:val="FootnoteText"/>
        <w:rPr>
          <w:rFonts w:cs="Arial"/>
          <w:szCs w:val="24"/>
        </w:rPr>
      </w:pPr>
      <w:r w:rsidRPr="00BD17F0">
        <w:rPr>
          <w:rStyle w:val="FootnoteReference"/>
          <w:rFonts w:cs="Arial"/>
          <w:szCs w:val="24"/>
        </w:rPr>
        <w:footnoteRef/>
      </w:r>
      <w:r w:rsidRPr="00BD17F0">
        <w:rPr>
          <w:rFonts w:cs="Arial"/>
          <w:szCs w:val="24"/>
        </w:rPr>
        <w:t xml:space="preserve"> UN Committee on the Rights of Persons wth Disabilities</w:t>
      </w:r>
      <w:r w:rsidR="00BD17F0">
        <w:rPr>
          <w:rFonts w:cs="Arial"/>
          <w:szCs w:val="24"/>
        </w:rPr>
        <w:t xml:space="preserve"> (2017), </w:t>
      </w:r>
      <w:hyperlink r:id="rId175" w:history="1">
        <w:r w:rsidRPr="00BD17F0">
          <w:rPr>
            <w:rStyle w:val="Hyperlink"/>
            <w:rFonts w:cs="Arial"/>
            <w:color w:val="0B4E60" w:themeColor="text2"/>
            <w:szCs w:val="24"/>
          </w:rPr>
          <w:t>Concluding observations on the initial report of the United Kingdom of Great Britain and Northern Ireland</w:t>
        </w:r>
      </w:hyperlink>
      <w:r w:rsidR="00BD17F0">
        <w:rPr>
          <w:rFonts w:cs="Arial"/>
          <w:szCs w:val="24"/>
        </w:rPr>
        <w:t xml:space="preserve"> [accessed 6 May 2021]</w:t>
      </w:r>
    </w:p>
  </w:footnote>
  <w:footnote w:id="150">
    <w:p w14:paraId="23644844" w14:textId="4362BF94" w:rsidR="00193935" w:rsidRPr="005A6C22" w:rsidRDefault="00193935" w:rsidP="006836FC">
      <w:pPr>
        <w:pStyle w:val="FootnoteText"/>
        <w:rPr>
          <w:szCs w:val="24"/>
        </w:rPr>
      </w:pPr>
      <w:r w:rsidRPr="00BD17F0">
        <w:rPr>
          <w:rStyle w:val="FootnoteReference"/>
          <w:szCs w:val="24"/>
        </w:rPr>
        <w:footnoteRef/>
      </w:r>
      <w:r w:rsidRPr="00BD17F0">
        <w:rPr>
          <w:szCs w:val="24"/>
        </w:rPr>
        <w:t xml:space="preserve"> E</w:t>
      </w:r>
      <w:r w:rsidR="00BD17F0" w:rsidRPr="00BD17F0">
        <w:rPr>
          <w:szCs w:val="24"/>
        </w:rPr>
        <w:t xml:space="preserve">quality and </w:t>
      </w:r>
      <w:r w:rsidRPr="00BD17F0">
        <w:rPr>
          <w:szCs w:val="24"/>
        </w:rPr>
        <w:t>H</w:t>
      </w:r>
      <w:r w:rsidR="00BD17F0" w:rsidRPr="00BD17F0">
        <w:rPr>
          <w:szCs w:val="24"/>
        </w:rPr>
        <w:t xml:space="preserve">uman </w:t>
      </w:r>
      <w:r w:rsidRPr="00BD17F0">
        <w:rPr>
          <w:szCs w:val="24"/>
        </w:rPr>
        <w:t>R</w:t>
      </w:r>
      <w:r w:rsidR="00BD17F0" w:rsidRPr="00BD17F0">
        <w:rPr>
          <w:szCs w:val="24"/>
        </w:rPr>
        <w:t xml:space="preserve">ights </w:t>
      </w:r>
      <w:r w:rsidRPr="00BD17F0">
        <w:rPr>
          <w:szCs w:val="24"/>
        </w:rPr>
        <w:t>C</w:t>
      </w:r>
      <w:r w:rsidR="00BD17F0" w:rsidRPr="00BD17F0">
        <w:rPr>
          <w:szCs w:val="24"/>
        </w:rPr>
        <w:t>ommission</w:t>
      </w:r>
      <w:r w:rsidRPr="00BD17F0">
        <w:rPr>
          <w:szCs w:val="24"/>
        </w:rPr>
        <w:t xml:space="preserve"> (</w:t>
      </w:r>
      <w:r w:rsidR="00BD17F0" w:rsidRPr="00BD17F0">
        <w:rPr>
          <w:szCs w:val="24"/>
        </w:rPr>
        <w:t xml:space="preserve">2017), </w:t>
      </w:r>
      <w:hyperlink r:id="rId176" w:history="1">
        <w:r w:rsidRPr="00BD17F0">
          <w:rPr>
            <w:rStyle w:val="Hyperlink"/>
            <w:color w:val="0B4E60" w:themeColor="text2"/>
            <w:szCs w:val="24"/>
          </w:rPr>
          <w:t>Disability rights in the UK</w:t>
        </w:r>
      </w:hyperlink>
      <w:r w:rsidRPr="00BD17F0">
        <w:rPr>
          <w:rStyle w:val="Hyperlink"/>
          <w:color w:val="0B4E60" w:themeColor="text2"/>
          <w:szCs w:val="24"/>
        </w:rPr>
        <w:t>: UK Independent Mechanism updated submission to the UN Committee on the Rights of Persons with Disabilities</w:t>
      </w:r>
      <w:r w:rsidR="00BD17F0" w:rsidRPr="00BD17F0">
        <w:rPr>
          <w:szCs w:val="24"/>
        </w:rPr>
        <w:t xml:space="preserve"> </w:t>
      </w:r>
      <w:r w:rsidR="00BD17F0" w:rsidRPr="00BD17F0">
        <w:rPr>
          <w:rFonts w:cs="Arial"/>
          <w:szCs w:val="24"/>
        </w:rPr>
        <w:t>[accessed 6 May 2021].</w:t>
      </w:r>
      <w:r w:rsidRPr="00BD17F0">
        <w:rPr>
          <w:szCs w:val="24"/>
        </w:rPr>
        <w:t xml:space="preserve"> </w:t>
      </w:r>
    </w:p>
  </w:footnote>
  <w:footnote w:id="151">
    <w:p w14:paraId="3EA83D9D" w14:textId="758C3622" w:rsidR="00193935" w:rsidRPr="00BD17F0" w:rsidRDefault="00193935" w:rsidP="001E1BD1">
      <w:pPr>
        <w:pStyle w:val="FootnoteText"/>
        <w:rPr>
          <w:rFonts w:cs="Arial"/>
          <w:szCs w:val="24"/>
        </w:rPr>
      </w:pPr>
      <w:r w:rsidRPr="00BD17F0">
        <w:rPr>
          <w:rStyle w:val="FootnoteReference"/>
          <w:rFonts w:cs="Arial"/>
          <w:szCs w:val="24"/>
        </w:rPr>
        <w:footnoteRef/>
      </w:r>
      <w:r w:rsidRPr="00BD17F0">
        <w:rPr>
          <w:rFonts w:cs="Arial"/>
          <w:szCs w:val="24"/>
        </w:rPr>
        <w:t xml:space="preserve"> E</w:t>
      </w:r>
      <w:r w:rsidR="00BD17F0">
        <w:rPr>
          <w:rFonts w:cs="Arial"/>
          <w:szCs w:val="24"/>
        </w:rPr>
        <w:t xml:space="preserve">quality and </w:t>
      </w:r>
      <w:r w:rsidRPr="00BD17F0">
        <w:rPr>
          <w:rFonts w:cs="Arial"/>
          <w:szCs w:val="24"/>
        </w:rPr>
        <w:t>H</w:t>
      </w:r>
      <w:r w:rsidR="00BD17F0">
        <w:rPr>
          <w:rFonts w:cs="Arial"/>
          <w:szCs w:val="24"/>
        </w:rPr>
        <w:t xml:space="preserve">uman </w:t>
      </w:r>
      <w:r w:rsidRPr="00BD17F0">
        <w:rPr>
          <w:rFonts w:cs="Arial"/>
          <w:szCs w:val="24"/>
        </w:rPr>
        <w:t>R</w:t>
      </w:r>
      <w:r w:rsidR="00BD17F0">
        <w:rPr>
          <w:rFonts w:cs="Arial"/>
          <w:szCs w:val="24"/>
        </w:rPr>
        <w:t xml:space="preserve">ights </w:t>
      </w:r>
      <w:r w:rsidRPr="00BD17F0">
        <w:rPr>
          <w:rFonts w:cs="Arial"/>
          <w:szCs w:val="24"/>
        </w:rPr>
        <w:t>C</w:t>
      </w:r>
      <w:r w:rsidR="00BD17F0">
        <w:rPr>
          <w:rFonts w:cs="Arial"/>
          <w:szCs w:val="24"/>
        </w:rPr>
        <w:t>ommission</w:t>
      </w:r>
      <w:r w:rsidRPr="00BD17F0">
        <w:rPr>
          <w:rFonts w:cs="Arial"/>
          <w:szCs w:val="24"/>
        </w:rPr>
        <w:t xml:space="preserve"> (2017), ‘UK Independent Mechanism. </w:t>
      </w:r>
      <w:hyperlink r:id="rId177" w:history="1">
        <w:r w:rsidRPr="00BD17F0">
          <w:rPr>
            <w:rStyle w:val="Hyperlink"/>
            <w:rFonts w:cs="Arial"/>
            <w:color w:val="0B4E60" w:themeColor="text2"/>
            <w:szCs w:val="24"/>
          </w:rPr>
          <w:t>Disability rights in the UK</w:t>
        </w:r>
      </w:hyperlink>
      <w:r w:rsidRPr="00BD17F0">
        <w:rPr>
          <w:rStyle w:val="Hyperlink"/>
          <w:rFonts w:cs="Arial"/>
          <w:color w:val="0B4E60" w:themeColor="text2"/>
          <w:szCs w:val="24"/>
        </w:rPr>
        <w:t>: Updated submission to the UN Committee on the Rights of Persons with Disabilities</w:t>
      </w:r>
      <w:r w:rsidR="00BD17F0">
        <w:rPr>
          <w:rFonts w:cs="Arial"/>
          <w:szCs w:val="24"/>
        </w:rPr>
        <w:t>’[accessed 6 May 2021].</w:t>
      </w:r>
    </w:p>
  </w:footnote>
  <w:footnote w:id="152">
    <w:p w14:paraId="29677732" w14:textId="555A4AEC" w:rsidR="00193935" w:rsidRPr="00DC0252" w:rsidRDefault="00193935" w:rsidP="00DC23A2">
      <w:pPr>
        <w:pStyle w:val="FootnoteText"/>
        <w:rPr>
          <w:rFonts w:cs="Arial"/>
          <w:szCs w:val="24"/>
        </w:rPr>
      </w:pPr>
      <w:r w:rsidRPr="00BD17F0">
        <w:rPr>
          <w:rStyle w:val="FootnoteReference"/>
          <w:rFonts w:cs="Arial"/>
          <w:szCs w:val="24"/>
        </w:rPr>
        <w:footnoteRef/>
      </w:r>
      <w:r w:rsidRPr="00BD17F0">
        <w:rPr>
          <w:rFonts w:cs="Arial"/>
          <w:szCs w:val="24"/>
        </w:rPr>
        <w:t xml:space="preserve"> UN Committee on the Rights of Persons with Disabilities (2017)</w:t>
      </w:r>
      <w:r w:rsidR="00BD17F0">
        <w:rPr>
          <w:rFonts w:cs="Arial"/>
          <w:szCs w:val="24"/>
        </w:rPr>
        <w:t xml:space="preserve">, </w:t>
      </w:r>
      <w:hyperlink r:id="rId178" w:history="1">
        <w:r w:rsidRPr="00BD17F0">
          <w:rPr>
            <w:rStyle w:val="Hyperlink"/>
            <w:rFonts w:cs="Arial"/>
            <w:color w:val="0B4E60" w:themeColor="text2"/>
            <w:szCs w:val="24"/>
          </w:rPr>
          <w:t>General comment No. 5 (2017) on living independently and being included in the community</w:t>
        </w:r>
      </w:hyperlink>
      <w:r w:rsidRPr="00BD17F0">
        <w:rPr>
          <w:rFonts w:cs="Arial"/>
          <w:szCs w:val="24"/>
        </w:rPr>
        <w:t>, para</w:t>
      </w:r>
      <w:r w:rsidR="00BD17F0">
        <w:rPr>
          <w:rFonts w:cs="Arial"/>
          <w:szCs w:val="24"/>
        </w:rPr>
        <w:t>graph</w:t>
      </w:r>
      <w:r w:rsidRPr="00BD17F0">
        <w:rPr>
          <w:rFonts w:cs="Arial"/>
          <w:szCs w:val="24"/>
        </w:rPr>
        <w:t xml:space="preserve"> 4</w:t>
      </w:r>
      <w:r w:rsidR="00BD17F0">
        <w:rPr>
          <w:rFonts w:cs="Arial"/>
          <w:szCs w:val="24"/>
        </w:rPr>
        <w:t>1 [accessed 6 May 2021].</w:t>
      </w:r>
    </w:p>
  </w:footnote>
  <w:footnote w:id="153">
    <w:p w14:paraId="015471AA" w14:textId="118EEDF1" w:rsidR="00193935" w:rsidRPr="001A78AA" w:rsidRDefault="00193935" w:rsidP="00DC23A2">
      <w:pPr>
        <w:pStyle w:val="FootnoteText"/>
        <w:rPr>
          <w:rFonts w:cs="Arial"/>
        </w:rPr>
      </w:pPr>
      <w:r w:rsidRPr="00BD17F0">
        <w:rPr>
          <w:rStyle w:val="FootnoteReference"/>
          <w:rFonts w:cs="Arial"/>
          <w:szCs w:val="24"/>
        </w:rPr>
        <w:footnoteRef/>
      </w:r>
      <w:r w:rsidRPr="00BD17F0">
        <w:rPr>
          <w:rFonts w:cs="Arial"/>
          <w:szCs w:val="24"/>
        </w:rPr>
        <w:t xml:space="preserve"> Office of the UN High Commissioner for Human Rights</w:t>
      </w:r>
      <w:r w:rsidR="00BD17F0">
        <w:rPr>
          <w:rFonts w:cs="Arial"/>
          <w:szCs w:val="24"/>
        </w:rPr>
        <w:t xml:space="preserve"> (2008), </w:t>
      </w:r>
      <w:hyperlink r:id="rId179" w:history="1">
        <w:r w:rsidRPr="00BD17F0">
          <w:rPr>
            <w:rStyle w:val="Hyperlink"/>
            <w:rFonts w:cs="Arial"/>
            <w:color w:val="0B4E60" w:themeColor="text2"/>
            <w:szCs w:val="24"/>
          </w:rPr>
          <w:t>Frequently asked questions on economic, social and cultural rights: Fact sheet no. 33</w:t>
        </w:r>
      </w:hyperlink>
      <w:r w:rsidR="00BD17F0" w:rsidRPr="00BD17F0">
        <w:rPr>
          <w:rFonts w:cs="Arial"/>
          <w:szCs w:val="24"/>
        </w:rPr>
        <w:t>, page</w:t>
      </w:r>
      <w:r w:rsidRPr="00BD17F0">
        <w:rPr>
          <w:rFonts w:cs="Arial"/>
          <w:szCs w:val="24"/>
        </w:rPr>
        <w:t xml:space="preserve"> 13</w:t>
      </w:r>
      <w:r w:rsidR="00BD17F0">
        <w:rPr>
          <w:rFonts w:cs="Arial"/>
          <w:szCs w:val="24"/>
        </w:rPr>
        <w:t xml:space="preserve"> [accessed 6 May 2021]</w:t>
      </w:r>
      <w:r w:rsidRPr="00BD17F0">
        <w:rPr>
          <w:rFonts w:cs="Arial"/>
          <w:szCs w:val="24"/>
        </w:rPr>
        <w:t>. This draws on: Committee on Economic, Social and Cultural Rights</w:t>
      </w:r>
      <w:r w:rsidR="00BD17F0">
        <w:rPr>
          <w:rFonts w:cs="Arial"/>
          <w:szCs w:val="24"/>
        </w:rPr>
        <w:t xml:space="preserve"> (1990), </w:t>
      </w:r>
      <w:hyperlink r:id="rId180" w:history="1">
        <w:r w:rsidRPr="00BD17F0">
          <w:rPr>
            <w:rStyle w:val="Hyperlink"/>
            <w:rFonts w:cs="Arial"/>
            <w:color w:val="0B4E60" w:themeColor="text2"/>
            <w:szCs w:val="24"/>
          </w:rPr>
          <w:t>General comment No. 3: The nature of States parties’ obligations</w:t>
        </w:r>
      </w:hyperlink>
      <w:r w:rsidR="00BD17F0">
        <w:rPr>
          <w:rFonts w:cs="Arial"/>
          <w:szCs w:val="24"/>
        </w:rPr>
        <w:t xml:space="preserve"> [accessed 6 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E3902" w14:textId="77777777" w:rsidR="00D871BB" w:rsidRDefault="00D87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1482" w14:textId="74589204" w:rsidR="00193935" w:rsidRDefault="001B7D9C" w:rsidP="00605567">
    <w:pPr>
      <w:pStyle w:val="Header"/>
      <w:pBdr>
        <w:top w:val="single" w:sz="36" w:space="5" w:color="009C98" w:themeColor="accent1"/>
      </w:pBdr>
      <w:ind w:left="-851" w:right="-738"/>
      <w:jc w:val="center"/>
    </w:pPr>
    <w:sdt>
      <w:sdtPr>
        <w:alias w:val="Title"/>
        <w:tag w:val=""/>
        <w:id w:val="-347718907"/>
        <w:dataBinding w:prefixMappings="xmlns:ns0='http://purl.org/dc/elements/1.1/' xmlns:ns1='http://schemas.openxmlformats.org/package/2006/metadata/core-properties' " w:xpath="/ns1:coreProperties[1]/ns0:title[1]" w:storeItemID="{6C3C8BC8-F283-45AE-878A-BAB7291924A1}"/>
        <w:text/>
      </w:sdtPr>
      <w:sdtEndPr/>
      <w:sdtContent>
        <w:r w:rsidR="00193935">
          <w:t>Strengthening the right to independent living</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D79F5" w14:textId="12C90DCF" w:rsidR="00193935" w:rsidRDefault="00193935" w:rsidP="000E6F22">
    <w:pPr>
      <w:pStyle w:val="Header"/>
      <w:spacing w:before="640" w:after="2000"/>
      <w:ind w:right="-1021"/>
      <w:jc w:val="right"/>
    </w:pPr>
    <w:r>
      <w:rPr>
        <w:noProof/>
        <w:lang w:eastAsia="en-GB"/>
      </w:rPr>
      <w:drawing>
        <wp:inline distT="0" distB="0" distL="0" distR="0" wp14:anchorId="341C0C56" wp14:editId="33121749">
          <wp:extent cx="2624392" cy="673769"/>
          <wp:effectExtent l="0" t="0" r="5080" b="0"/>
          <wp:docPr id="3" name="Picture 3"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507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4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269B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E9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D83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7819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89A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1A4A"/>
    <w:multiLevelType w:val="hybridMultilevel"/>
    <w:tmpl w:val="8B024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0AA936C2"/>
    <w:multiLevelType w:val="hybridMultilevel"/>
    <w:tmpl w:val="E864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C025DA4"/>
    <w:multiLevelType w:val="hybridMultilevel"/>
    <w:tmpl w:val="CB7015D4"/>
    <w:lvl w:ilvl="0" w:tplc="E93649F8">
      <w:start w:val="1"/>
      <w:numFmt w:val="decimal"/>
      <w:pStyle w:val="aaa"/>
      <w:lvlText w:val="%1."/>
      <w:lvlJc w:val="left"/>
      <w:pPr>
        <w:ind w:left="1488" w:hanging="112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E6265E">
      <w:start w:val="1"/>
      <w:numFmt w:val="lowerLetter"/>
      <w:pStyle w:val="ddd"/>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6534A9"/>
    <w:multiLevelType w:val="hybridMultilevel"/>
    <w:tmpl w:val="37CCE0D0"/>
    <w:lvl w:ilvl="0" w:tplc="0FC4345C">
      <w:start w:val="1"/>
      <w:numFmt w:val="decimal"/>
      <w:lvlText w:val="%1."/>
      <w:lvlJc w:val="left"/>
      <w:pPr>
        <w:ind w:left="360" w:hanging="360"/>
      </w:pPr>
      <w:rPr>
        <w:rFonts w:hint="default"/>
        <w:b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D005A47"/>
    <w:multiLevelType w:val="hybridMultilevel"/>
    <w:tmpl w:val="7D48D0B8"/>
    <w:lvl w:ilvl="0" w:tplc="227AFF52">
      <w:start w:val="2"/>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0FB83F35"/>
    <w:multiLevelType w:val="hybridMultilevel"/>
    <w:tmpl w:val="521EC44E"/>
    <w:lvl w:ilvl="0" w:tplc="9E7451C0">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1B63124"/>
    <w:multiLevelType w:val="hybridMultilevel"/>
    <w:tmpl w:val="6F545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72D3CE1"/>
    <w:multiLevelType w:val="hybridMultilevel"/>
    <w:tmpl w:val="8392FEE0"/>
    <w:lvl w:ilvl="0" w:tplc="B3CAE2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7C382A"/>
    <w:multiLevelType w:val="multilevel"/>
    <w:tmpl w:val="DE9827B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7B24D70"/>
    <w:multiLevelType w:val="hybridMultilevel"/>
    <w:tmpl w:val="A31CF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23"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C738C4"/>
    <w:multiLevelType w:val="hybridMultilevel"/>
    <w:tmpl w:val="62D28EEA"/>
    <w:lvl w:ilvl="0" w:tplc="6518D4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8ED4AF0"/>
    <w:multiLevelType w:val="hybridMultilevel"/>
    <w:tmpl w:val="9168D7EC"/>
    <w:lvl w:ilvl="0" w:tplc="0FC4345C">
      <w:start w:val="1"/>
      <w:numFmt w:val="decimal"/>
      <w:lvlText w:val="%1."/>
      <w:lvlJc w:val="left"/>
      <w:pPr>
        <w:ind w:left="360" w:hanging="360"/>
      </w:pPr>
      <w:rPr>
        <w:rFonts w:hint="default"/>
        <w:b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97D5A1D"/>
    <w:multiLevelType w:val="multilevel"/>
    <w:tmpl w:val="AE50A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B1750CA"/>
    <w:multiLevelType w:val="hybridMultilevel"/>
    <w:tmpl w:val="38048314"/>
    <w:lvl w:ilvl="0" w:tplc="77BC021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2BC72C5D"/>
    <w:multiLevelType w:val="hybridMultilevel"/>
    <w:tmpl w:val="505A19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2D8336BE"/>
    <w:multiLevelType w:val="multilevel"/>
    <w:tmpl w:val="4862452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762568"/>
    <w:multiLevelType w:val="hybridMultilevel"/>
    <w:tmpl w:val="521EC44E"/>
    <w:lvl w:ilvl="0" w:tplc="9E7451C0">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3EBD08D9"/>
    <w:multiLevelType w:val="hybridMultilevel"/>
    <w:tmpl w:val="152ECF66"/>
    <w:lvl w:ilvl="0" w:tplc="9E7451C0">
      <w:start w:val="1"/>
      <w:numFmt w:val="lowerLetter"/>
      <w:lvlText w:val="%1)"/>
      <w:lvlJc w:val="left"/>
      <w:pPr>
        <w:ind w:left="1017" w:hanging="360"/>
      </w:pPr>
      <w:rPr>
        <w:rFonts w:hint="default"/>
        <w:b/>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3" w15:restartNumberingAfterBreak="0">
    <w:nsid w:val="40525A99"/>
    <w:multiLevelType w:val="hybridMultilevel"/>
    <w:tmpl w:val="F1864E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34F751E"/>
    <w:multiLevelType w:val="hybridMultilevel"/>
    <w:tmpl w:val="1B084D9A"/>
    <w:lvl w:ilvl="0" w:tplc="0FC4345C">
      <w:start w:val="1"/>
      <w:numFmt w:val="decimal"/>
      <w:lvlText w:val="%1."/>
      <w:lvlJc w:val="left"/>
      <w:pPr>
        <w:ind w:left="360" w:hanging="360"/>
      </w:pPr>
      <w:rPr>
        <w:rFonts w:hint="default"/>
        <w:b w:val="0"/>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369437D"/>
    <w:multiLevelType w:val="multilevel"/>
    <w:tmpl w:val="DE9827B8"/>
    <w:numStyleLink w:val="StyleOutlinenumberedLatinHeadingsArialComplexHeadi2"/>
  </w:abstractNum>
  <w:abstractNum w:abstractNumId="36" w15:restartNumberingAfterBreak="0">
    <w:nsid w:val="446E7419"/>
    <w:multiLevelType w:val="hybridMultilevel"/>
    <w:tmpl w:val="45B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941FEA"/>
    <w:multiLevelType w:val="hybridMultilevel"/>
    <w:tmpl w:val="4EBE4E5C"/>
    <w:lvl w:ilvl="0" w:tplc="E8EC24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49B23D7"/>
    <w:multiLevelType w:val="hybridMultilevel"/>
    <w:tmpl w:val="B9709E8C"/>
    <w:lvl w:ilvl="0" w:tplc="08090017">
      <w:start w:val="1"/>
      <w:numFmt w:val="lowerLetter"/>
      <w:lvlText w:val="%1)"/>
      <w:lvlJc w:val="left"/>
      <w:pPr>
        <w:ind w:left="360" w:hanging="360"/>
      </w:pPr>
    </w:lvl>
    <w:lvl w:ilvl="1" w:tplc="B36600C0">
      <w:start w:val="1"/>
      <w:numFmt w:val="decimal"/>
      <w:lvlText w:val="%2."/>
      <w:lvlJc w:val="left"/>
      <w:pPr>
        <w:ind w:left="1080" w:hanging="360"/>
      </w:pPr>
      <w:rPr>
        <w:rFonts w:hint="default"/>
      </w:rPr>
    </w:lvl>
    <w:lvl w:ilvl="2" w:tplc="36E696AA">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4E25226"/>
    <w:multiLevelType w:val="hybridMultilevel"/>
    <w:tmpl w:val="D9FAC984"/>
    <w:lvl w:ilvl="0" w:tplc="1B282C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698039B"/>
    <w:multiLevelType w:val="hybridMultilevel"/>
    <w:tmpl w:val="FFAAB1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42" w15:restartNumberingAfterBreak="0">
    <w:nsid w:val="4CBB654E"/>
    <w:multiLevelType w:val="hybridMultilevel"/>
    <w:tmpl w:val="829AD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4"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53C276B"/>
    <w:multiLevelType w:val="hybridMultilevel"/>
    <w:tmpl w:val="08669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57F3D2B"/>
    <w:multiLevelType w:val="multilevel"/>
    <w:tmpl w:val="91200760"/>
    <w:lvl w:ilvl="0">
      <w:start w:val="1"/>
      <w:numFmt w:val="decimal"/>
      <w:pStyle w:val="ListNumber"/>
      <w:lvlText w:val="%1."/>
      <w:lvlJc w:val="left"/>
      <w:pPr>
        <w:ind w:left="567" w:hanging="567"/>
      </w:pPr>
      <w:rPr>
        <w:rFonts w:hint="default"/>
        <w:b w:val="0"/>
        <w:color w:val="auto"/>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48" w15:restartNumberingAfterBreak="0">
    <w:nsid w:val="57D436A0"/>
    <w:multiLevelType w:val="multilevel"/>
    <w:tmpl w:val="DE9827B8"/>
    <w:numStyleLink w:val="StyleOutlinenumberedLatinHeadingsArialComplexHeadi"/>
  </w:abstractNum>
  <w:abstractNum w:abstractNumId="49" w15:restartNumberingAfterBreak="0">
    <w:nsid w:val="5C0753C2"/>
    <w:multiLevelType w:val="hybridMultilevel"/>
    <w:tmpl w:val="D8886C8A"/>
    <w:lvl w:ilvl="0" w:tplc="DE4A57DA">
      <w:start w:val="7"/>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E036B92"/>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51" w15:restartNumberingAfterBreak="0">
    <w:nsid w:val="5E4547DC"/>
    <w:multiLevelType w:val="hybridMultilevel"/>
    <w:tmpl w:val="9168D7EC"/>
    <w:lvl w:ilvl="0" w:tplc="0FC4345C">
      <w:start w:val="1"/>
      <w:numFmt w:val="decimal"/>
      <w:lvlText w:val="%1."/>
      <w:lvlJc w:val="left"/>
      <w:pPr>
        <w:ind w:left="360" w:hanging="360"/>
      </w:pPr>
      <w:rPr>
        <w:rFonts w:hint="default"/>
        <w:b w:val="0"/>
        <w:color w:val="auto"/>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636D149C"/>
    <w:multiLevelType w:val="hybridMultilevel"/>
    <w:tmpl w:val="DF069438"/>
    <w:lvl w:ilvl="0" w:tplc="7792808E">
      <w:start w:val="3"/>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3"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54" w15:restartNumberingAfterBreak="0">
    <w:nsid w:val="6ADE2306"/>
    <w:multiLevelType w:val="hybridMultilevel"/>
    <w:tmpl w:val="32D68114"/>
    <w:lvl w:ilvl="0" w:tplc="0FC4345C">
      <w:start w:val="1"/>
      <w:numFmt w:val="decimal"/>
      <w:lvlText w:val="%1."/>
      <w:lvlJc w:val="left"/>
      <w:pPr>
        <w:ind w:left="360" w:hanging="360"/>
      </w:pPr>
      <w:rPr>
        <w:rFonts w:hint="default"/>
        <w:b w:val="0"/>
        <w:color w:val="auto"/>
        <w:u w:val="no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6" w15:restartNumberingAfterBreak="0">
    <w:nsid w:val="71C56C31"/>
    <w:multiLevelType w:val="hybridMultilevel"/>
    <w:tmpl w:val="2494A9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58" w15:restartNumberingAfterBreak="0">
    <w:nsid w:val="739D31B0"/>
    <w:multiLevelType w:val="hybridMultilevel"/>
    <w:tmpl w:val="F7FAD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46A4627"/>
    <w:multiLevelType w:val="multilevel"/>
    <w:tmpl w:val="DE9827B8"/>
    <w:numStyleLink w:val="StyleOutlinenumberedLatinHeadingsArialComplexHeadi1"/>
  </w:abstractNum>
  <w:abstractNum w:abstractNumId="60" w15:restartNumberingAfterBreak="0">
    <w:nsid w:val="75BE578D"/>
    <w:multiLevelType w:val="hybridMultilevel"/>
    <w:tmpl w:val="0E7A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572449"/>
    <w:multiLevelType w:val="hybridMultilevel"/>
    <w:tmpl w:val="10969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D6A2A76"/>
    <w:multiLevelType w:val="hybridMultilevel"/>
    <w:tmpl w:val="BAECA450"/>
    <w:lvl w:ilvl="0" w:tplc="7792808E">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63" w15:restartNumberingAfterBreak="0">
    <w:nsid w:val="7D730132"/>
    <w:multiLevelType w:val="hybridMultilevel"/>
    <w:tmpl w:val="36F83830"/>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DAD1F2C"/>
    <w:multiLevelType w:val="hybridMultilevel"/>
    <w:tmpl w:val="521EC44E"/>
    <w:lvl w:ilvl="0" w:tplc="9E7451C0">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5" w15:restartNumberingAfterBreak="0">
    <w:nsid w:val="7DAF6FCA"/>
    <w:multiLevelType w:val="hybridMultilevel"/>
    <w:tmpl w:val="E4029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50"/>
  </w:num>
  <w:num w:numId="6">
    <w:abstractNumId w:val="47"/>
  </w:num>
  <w:num w:numId="7">
    <w:abstractNumId w:val="11"/>
  </w:num>
  <w:num w:numId="8">
    <w:abstractNumId w:val="46"/>
  </w:num>
  <w:num w:numId="9">
    <w:abstractNumId w:val="41"/>
  </w:num>
  <w:num w:numId="10">
    <w:abstractNumId w:val="57"/>
  </w:num>
  <w:num w:numId="11">
    <w:abstractNumId w:val="55"/>
  </w:num>
  <w:num w:numId="12">
    <w:abstractNumId w:val="23"/>
  </w:num>
  <w:num w:numId="13">
    <w:abstractNumId w:val="43"/>
  </w:num>
  <w:num w:numId="14">
    <w:abstractNumId w:val="22"/>
  </w:num>
  <w:num w:numId="15">
    <w:abstractNumId w:val="27"/>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6"/>
  </w:num>
  <w:num w:numId="23">
    <w:abstractNumId w:val="30"/>
  </w:num>
  <w:num w:numId="24">
    <w:abstractNumId w:val="26"/>
  </w:num>
  <w:num w:numId="25">
    <w:abstractNumId w:val="20"/>
  </w:num>
  <w:num w:numId="26">
    <w:abstractNumId w:val="10"/>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8"/>
  </w:num>
  <w:num w:numId="30">
    <w:abstractNumId w:val="53"/>
  </w:num>
  <w:num w:numId="31">
    <w:abstractNumId w:val="59"/>
  </w:num>
  <w:num w:numId="32">
    <w:abstractNumId w:val="13"/>
  </w:num>
  <w:num w:numId="33">
    <w:abstractNumId w:val="35"/>
  </w:num>
  <w:num w:numId="34">
    <w:abstractNumId w:val="21"/>
  </w:num>
  <w:num w:numId="35">
    <w:abstractNumId w:val="54"/>
  </w:num>
  <w:num w:numId="36">
    <w:abstractNumId w:val="31"/>
  </w:num>
  <w:num w:numId="37">
    <w:abstractNumId w:val="65"/>
  </w:num>
  <w:num w:numId="38">
    <w:abstractNumId w:val="45"/>
  </w:num>
  <w:num w:numId="39">
    <w:abstractNumId w:val="19"/>
  </w:num>
  <w:num w:numId="40">
    <w:abstractNumId w:val="16"/>
  </w:num>
  <w:num w:numId="41">
    <w:abstractNumId w:val="18"/>
  </w:num>
  <w:num w:numId="42">
    <w:abstractNumId w:val="58"/>
  </w:num>
  <w:num w:numId="43">
    <w:abstractNumId w:val="60"/>
  </w:num>
  <w:num w:numId="44">
    <w:abstractNumId w:val="51"/>
  </w:num>
  <w:num w:numId="45">
    <w:abstractNumId w:val="61"/>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25"/>
  </w:num>
  <w:num w:numId="49">
    <w:abstractNumId w:val="34"/>
  </w:num>
  <w:num w:numId="50">
    <w:abstractNumId w:val="38"/>
  </w:num>
  <w:num w:numId="51">
    <w:abstractNumId w:val="42"/>
  </w:num>
  <w:num w:numId="52">
    <w:abstractNumId w:val="40"/>
  </w:num>
  <w:num w:numId="53">
    <w:abstractNumId w:val="14"/>
  </w:num>
  <w:num w:numId="54">
    <w:abstractNumId w:val="56"/>
  </w:num>
  <w:num w:numId="55">
    <w:abstractNumId w:val="62"/>
  </w:num>
  <w:num w:numId="56">
    <w:abstractNumId w:val="49"/>
  </w:num>
  <w:num w:numId="57">
    <w:abstractNumId w:val="52"/>
  </w:num>
  <w:num w:numId="58">
    <w:abstractNumId w:val="37"/>
  </w:num>
  <w:num w:numId="59">
    <w:abstractNumId w:val="24"/>
  </w:num>
  <w:num w:numId="60">
    <w:abstractNumId w:val="28"/>
  </w:num>
  <w:num w:numId="61">
    <w:abstractNumId w:val="39"/>
  </w:num>
  <w:num w:numId="62">
    <w:abstractNumId w:val="63"/>
  </w:num>
  <w:num w:numId="63">
    <w:abstractNumId w:val="17"/>
  </w:num>
  <w:num w:numId="64">
    <w:abstractNumId w:val="32"/>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4"/>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num>
  <w:num w:numId="69">
    <w:abstractNumId w:val="29"/>
  </w:num>
  <w:num w:numId="70">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4E"/>
    <w:rsid w:val="000129C4"/>
    <w:rsid w:val="00014FC3"/>
    <w:rsid w:val="00015484"/>
    <w:rsid w:val="00022B38"/>
    <w:rsid w:val="0002676F"/>
    <w:rsid w:val="000270F5"/>
    <w:rsid w:val="000310D5"/>
    <w:rsid w:val="00032ECA"/>
    <w:rsid w:val="0003663B"/>
    <w:rsid w:val="000366DE"/>
    <w:rsid w:val="00041F60"/>
    <w:rsid w:val="00042CE1"/>
    <w:rsid w:val="000530C5"/>
    <w:rsid w:val="0005771C"/>
    <w:rsid w:val="00057FC5"/>
    <w:rsid w:val="000636D1"/>
    <w:rsid w:val="00063824"/>
    <w:rsid w:val="000643BC"/>
    <w:rsid w:val="0006713C"/>
    <w:rsid w:val="00070C01"/>
    <w:rsid w:val="00072BE4"/>
    <w:rsid w:val="00075ABB"/>
    <w:rsid w:val="00076A0C"/>
    <w:rsid w:val="00080613"/>
    <w:rsid w:val="00083530"/>
    <w:rsid w:val="00085C79"/>
    <w:rsid w:val="00086816"/>
    <w:rsid w:val="00090682"/>
    <w:rsid w:val="00090D2A"/>
    <w:rsid w:val="00095255"/>
    <w:rsid w:val="00097C17"/>
    <w:rsid w:val="00097E41"/>
    <w:rsid w:val="000A4006"/>
    <w:rsid w:val="000A4201"/>
    <w:rsid w:val="000A4CC3"/>
    <w:rsid w:val="000A58DB"/>
    <w:rsid w:val="000A5D1E"/>
    <w:rsid w:val="000B1802"/>
    <w:rsid w:val="000B272D"/>
    <w:rsid w:val="000B3CE4"/>
    <w:rsid w:val="000C0566"/>
    <w:rsid w:val="000C0843"/>
    <w:rsid w:val="000D1B8F"/>
    <w:rsid w:val="000D320A"/>
    <w:rsid w:val="000D32CF"/>
    <w:rsid w:val="000D32FB"/>
    <w:rsid w:val="000D402B"/>
    <w:rsid w:val="000E2977"/>
    <w:rsid w:val="000E6F22"/>
    <w:rsid w:val="00111B36"/>
    <w:rsid w:val="00123A50"/>
    <w:rsid w:val="00123CED"/>
    <w:rsid w:val="001253D3"/>
    <w:rsid w:val="001259F9"/>
    <w:rsid w:val="0012743B"/>
    <w:rsid w:val="001316EA"/>
    <w:rsid w:val="00131E5D"/>
    <w:rsid w:val="00131ED3"/>
    <w:rsid w:val="00132146"/>
    <w:rsid w:val="00135806"/>
    <w:rsid w:val="0013690F"/>
    <w:rsid w:val="00137E80"/>
    <w:rsid w:val="00140296"/>
    <w:rsid w:val="001411A7"/>
    <w:rsid w:val="00145B30"/>
    <w:rsid w:val="001505F0"/>
    <w:rsid w:val="00152B03"/>
    <w:rsid w:val="001530E7"/>
    <w:rsid w:val="001555CA"/>
    <w:rsid w:val="00155E46"/>
    <w:rsid w:val="001577E9"/>
    <w:rsid w:val="00173F52"/>
    <w:rsid w:val="0017457D"/>
    <w:rsid w:val="001746B7"/>
    <w:rsid w:val="00177257"/>
    <w:rsid w:val="00193935"/>
    <w:rsid w:val="00194A63"/>
    <w:rsid w:val="001A0636"/>
    <w:rsid w:val="001A22CD"/>
    <w:rsid w:val="001A4129"/>
    <w:rsid w:val="001A59EC"/>
    <w:rsid w:val="001B4690"/>
    <w:rsid w:val="001B4B44"/>
    <w:rsid w:val="001B7D9C"/>
    <w:rsid w:val="001C0254"/>
    <w:rsid w:val="001C21AF"/>
    <w:rsid w:val="001C2F6C"/>
    <w:rsid w:val="001C5DD2"/>
    <w:rsid w:val="001C7725"/>
    <w:rsid w:val="001D1B1C"/>
    <w:rsid w:val="001D2AD0"/>
    <w:rsid w:val="001D6B1D"/>
    <w:rsid w:val="001E017A"/>
    <w:rsid w:val="001E1BD1"/>
    <w:rsid w:val="001E6028"/>
    <w:rsid w:val="001E6407"/>
    <w:rsid w:val="001E6457"/>
    <w:rsid w:val="001E7024"/>
    <w:rsid w:val="001E77F6"/>
    <w:rsid w:val="001F688B"/>
    <w:rsid w:val="001F71B8"/>
    <w:rsid w:val="0020185C"/>
    <w:rsid w:val="00201E04"/>
    <w:rsid w:val="00205A4B"/>
    <w:rsid w:val="00210C0B"/>
    <w:rsid w:val="00211230"/>
    <w:rsid w:val="00211F56"/>
    <w:rsid w:val="00213015"/>
    <w:rsid w:val="00217C70"/>
    <w:rsid w:val="00222098"/>
    <w:rsid w:val="00223CA6"/>
    <w:rsid w:val="00223E1D"/>
    <w:rsid w:val="00230678"/>
    <w:rsid w:val="00230F01"/>
    <w:rsid w:val="00237647"/>
    <w:rsid w:val="00240672"/>
    <w:rsid w:val="00242862"/>
    <w:rsid w:val="002429CB"/>
    <w:rsid w:val="00244A93"/>
    <w:rsid w:val="002450C3"/>
    <w:rsid w:val="00245360"/>
    <w:rsid w:val="002457EB"/>
    <w:rsid w:val="00245A71"/>
    <w:rsid w:val="00246503"/>
    <w:rsid w:val="0024695C"/>
    <w:rsid w:val="002475B9"/>
    <w:rsid w:val="00254309"/>
    <w:rsid w:val="002552F9"/>
    <w:rsid w:val="00270A75"/>
    <w:rsid w:val="00270B19"/>
    <w:rsid w:val="00273EA3"/>
    <w:rsid w:val="00276C39"/>
    <w:rsid w:val="00277333"/>
    <w:rsid w:val="00283666"/>
    <w:rsid w:val="00284884"/>
    <w:rsid w:val="0028590E"/>
    <w:rsid w:val="0028746F"/>
    <w:rsid w:val="002877E2"/>
    <w:rsid w:val="00297813"/>
    <w:rsid w:val="002A041D"/>
    <w:rsid w:val="002A0C84"/>
    <w:rsid w:val="002A1AC0"/>
    <w:rsid w:val="002A589D"/>
    <w:rsid w:val="002A65B9"/>
    <w:rsid w:val="002A7B89"/>
    <w:rsid w:val="002B324A"/>
    <w:rsid w:val="002B5B9C"/>
    <w:rsid w:val="002C0A2F"/>
    <w:rsid w:val="002C11E4"/>
    <w:rsid w:val="002C1922"/>
    <w:rsid w:val="002C271E"/>
    <w:rsid w:val="002C5FA1"/>
    <w:rsid w:val="002D221B"/>
    <w:rsid w:val="002D7B90"/>
    <w:rsid w:val="002E08E4"/>
    <w:rsid w:val="002F28B5"/>
    <w:rsid w:val="002F4282"/>
    <w:rsid w:val="00303660"/>
    <w:rsid w:val="00311E5B"/>
    <w:rsid w:val="00313AB5"/>
    <w:rsid w:val="00315E91"/>
    <w:rsid w:val="003174FA"/>
    <w:rsid w:val="00317563"/>
    <w:rsid w:val="00325310"/>
    <w:rsid w:val="00330757"/>
    <w:rsid w:val="003338E8"/>
    <w:rsid w:val="0033587D"/>
    <w:rsid w:val="00341836"/>
    <w:rsid w:val="00341DD6"/>
    <w:rsid w:val="003470B8"/>
    <w:rsid w:val="00347E8A"/>
    <w:rsid w:val="00352332"/>
    <w:rsid w:val="003535A7"/>
    <w:rsid w:val="00357CC1"/>
    <w:rsid w:val="00360FA4"/>
    <w:rsid w:val="003616C5"/>
    <w:rsid w:val="00365E5D"/>
    <w:rsid w:val="003731CD"/>
    <w:rsid w:val="00374724"/>
    <w:rsid w:val="00375364"/>
    <w:rsid w:val="00375444"/>
    <w:rsid w:val="0038266E"/>
    <w:rsid w:val="00384E88"/>
    <w:rsid w:val="00384EFE"/>
    <w:rsid w:val="00390682"/>
    <w:rsid w:val="003921EE"/>
    <w:rsid w:val="00392943"/>
    <w:rsid w:val="0039541D"/>
    <w:rsid w:val="003A7D00"/>
    <w:rsid w:val="003B0091"/>
    <w:rsid w:val="003B1469"/>
    <w:rsid w:val="003B3EE9"/>
    <w:rsid w:val="003B5712"/>
    <w:rsid w:val="003B7D03"/>
    <w:rsid w:val="003C7799"/>
    <w:rsid w:val="003D5EC0"/>
    <w:rsid w:val="003E0710"/>
    <w:rsid w:val="003E3346"/>
    <w:rsid w:val="003F4E38"/>
    <w:rsid w:val="003F7BE7"/>
    <w:rsid w:val="00400E89"/>
    <w:rsid w:val="00401D2A"/>
    <w:rsid w:val="00407C5D"/>
    <w:rsid w:val="0041136B"/>
    <w:rsid w:val="004149B7"/>
    <w:rsid w:val="00420E5D"/>
    <w:rsid w:val="0042713F"/>
    <w:rsid w:val="004303BC"/>
    <w:rsid w:val="004326EA"/>
    <w:rsid w:val="00433357"/>
    <w:rsid w:val="00444CDB"/>
    <w:rsid w:val="00452363"/>
    <w:rsid w:val="00452FCD"/>
    <w:rsid w:val="004558B4"/>
    <w:rsid w:val="00457EE1"/>
    <w:rsid w:val="00460C39"/>
    <w:rsid w:val="00461040"/>
    <w:rsid w:val="00464F0E"/>
    <w:rsid w:val="00465B9E"/>
    <w:rsid w:val="00465E0B"/>
    <w:rsid w:val="004704A3"/>
    <w:rsid w:val="00470881"/>
    <w:rsid w:val="0047425A"/>
    <w:rsid w:val="00474664"/>
    <w:rsid w:val="00476B46"/>
    <w:rsid w:val="00477539"/>
    <w:rsid w:val="00486D4B"/>
    <w:rsid w:val="00493DD7"/>
    <w:rsid w:val="004A0C14"/>
    <w:rsid w:val="004A266C"/>
    <w:rsid w:val="004A47A5"/>
    <w:rsid w:val="004A5BF6"/>
    <w:rsid w:val="004A6194"/>
    <w:rsid w:val="004A7094"/>
    <w:rsid w:val="004B5F48"/>
    <w:rsid w:val="004C510C"/>
    <w:rsid w:val="004C5C6A"/>
    <w:rsid w:val="004D3925"/>
    <w:rsid w:val="004D3FC1"/>
    <w:rsid w:val="004E026D"/>
    <w:rsid w:val="004E2C9C"/>
    <w:rsid w:val="004E5FC2"/>
    <w:rsid w:val="004F0D64"/>
    <w:rsid w:val="004F2B23"/>
    <w:rsid w:val="004F5444"/>
    <w:rsid w:val="004F5A06"/>
    <w:rsid w:val="00501A04"/>
    <w:rsid w:val="00501ACE"/>
    <w:rsid w:val="005047CE"/>
    <w:rsid w:val="00510ABE"/>
    <w:rsid w:val="00514A49"/>
    <w:rsid w:val="00515E79"/>
    <w:rsid w:val="005204F5"/>
    <w:rsid w:val="00525E6A"/>
    <w:rsid w:val="00526047"/>
    <w:rsid w:val="00527586"/>
    <w:rsid w:val="0053102B"/>
    <w:rsid w:val="00532C97"/>
    <w:rsid w:val="00533F29"/>
    <w:rsid w:val="00534454"/>
    <w:rsid w:val="00535DFD"/>
    <w:rsid w:val="0053750A"/>
    <w:rsid w:val="005379E2"/>
    <w:rsid w:val="005457D2"/>
    <w:rsid w:val="00547B18"/>
    <w:rsid w:val="00556DBB"/>
    <w:rsid w:val="005602FB"/>
    <w:rsid w:val="005607FD"/>
    <w:rsid w:val="005653CB"/>
    <w:rsid w:val="00570BEF"/>
    <w:rsid w:val="005779B3"/>
    <w:rsid w:val="005779B4"/>
    <w:rsid w:val="0058159A"/>
    <w:rsid w:val="00585743"/>
    <w:rsid w:val="00587947"/>
    <w:rsid w:val="00587FA6"/>
    <w:rsid w:val="00593390"/>
    <w:rsid w:val="0059411C"/>
    <w:rsid w:val="005A1B86"/>
    <w:rsid w:val="005A1C23"/>
    <w:rsid w:val="005A4164"/>
    <w:rsid w:val="005A6C22"/>
    <w:rsid w:val="005B053D"/>
    <w:rsid w:val="005B2250"/>
    <w:rsid w:val="005B468D"/>
    <w:rsid w:val="005B57CC"/>
    <w:rsid w:val="005B5C1E"/>
    <w:rsid w:val="005B5C49"/>
    <w:rsid w:val="005B6280"/>
    <w:rsid w:val="005C65BC"/>
    <w:rsid w:val="005D039A"/>
    <w:rsid w:val="005E4512"/>
    <w:rsid w:val="005E765E"/>
    <w:rsid w:val="005F0ECB"/>
    <w:rsid w:val="005F1448"/>
    <w:rsid w:val="005F1B62"/>
    <w:rsid w:val="005F2E97"/>
    <w:rsid w:val="005F32A7"/>
    <w:rsid w:val="005F55BC"/>
    <w:rsid w:val="00600FE8"/>
    <w:rsid w:val="00605567"/>
    <w:rsid w:val="00611FD8"/>
    <w:rsid w:val="00612338"/>
    <w:rsid w:val="00622D39"/>
    <w:rsid w:val="00624702"/>
    <w:rsid w:val="006255DA"/>
    <w:rsid w:val="006260D0"/>
    <w:rsid w:val="006334ED"/>
    <w:rsid w:val="006414DD"/>
    <w:rsid w:val="00641DCE"/>
    <w:rsid w:val="006430F1"/>
    <w:rsid w:val="00644FA3"/>
    <w:rsid w:val="006451FF"/>
    <w:rsid w:val="00653530"/>
    <w:rsid w:val="0065746C"/>
    <w:rsid w:val="006606F3"/>
    <w:rsid w:val="0066166F"/>
    <w:rsid w:val="006666F4"/>
    <w:rsid w:val="0068020F"/>
    <w:rsid w:val="006836FC"/>
    <w:rsid w:val="00685B8F"/>
    <w:rsid w:val="00686D97"/>
    <w:rsid w:val="0069230C"/>
    <w:rsid w:val="0069658A"/>
    <w:rsid w:val="006978A0"/>
    <w:rsid w:val="006A1408"/>
    <w:rsid w:val="006A43A1"/>
    <w:rsid w:val="006B5664"/>
    <w:rsid w:val="006B7D0A"/>
    <w:rsid w:val="006C1E0B"/>
    <w:rsid w:val="006C33F0"/>
    <w:rsid w:val="006C5A43"/>
    <w:rsid w:val="006C7BD1"/>
    <w:rsid w:val="006D2B04"/>
    <w:rsid w:val="006D611F"/>
    <w:rsid w:val="006E0E05"/>
    <w:rsid w:val="006E41F3"/>
    <w:rsid w:val="006F5B8E"/>
    <w:rsid w:val="00702328"/>
    <w:rsid w:val="00705AC7"/>
    <w:rsid w:val="0070694E"/>
    <w:rsid w:val="00711475"/>
    <w:rsid w:val="007157D2"/>
    <w:rsid w:val="0071584B"/>
    <w:rsid w:val="00724700"/>
    <w:rsid w:val="0072517E"/>
    <w:rsid w:val="007256FA"/>
    <w:rsid w:val="00734196"/>
    <w:rsid w:val="007349F6"/>
    <w:rsid w:val="00735A35"/>
    <w:rsid w:val="00741B1E"/>
    <w:rsid w:val="00742F24"/>
    <w:rsid w:val="007463EA"/>
    <w:rsid w:val="0075260D"/>
    <w:rsid w:val="007545BD"/>
    <w:rsid w:val="007565FB"/>
    <w:rsid w:val="00761099"/>
    <w:rsid w:val="00766CD1"/>
    <w:rsid w:val="00770C6F"/>
    <w:rsid w:val="00772AFC"/>
    <w:rsid w:val="00772C5D"/>
    <w:rsid w:val="00775C8F"/>
    <w:rsid w:val="00776236"/>
    <w:rsid w:val="0077672D"/>
    <w:rsid w:val="007822D0"/>
    <w:rsid w:val="00795B43"/>
    <w:rsid w:val="007A00B2"/>
    <w:rsid w:val="007A0465"/>
    <w:rsid w:val="007A37C1"/>
    <w:rsid w:val="007A3B56"/>
    <w:rsid w:val="007A5B63"/>
    <w:rsid w:val="007B22F7"/>
    <w:rsid w:val="007B3195"/>
    <w:rsid w:val="007B33CC"/>
    <w:rsid w:val="007B485A"/>
    <w:rsid w:val="007B64AB"/>
    <w:rsid w:val="007B6BA0"/>
    <w:rsid w:val="007B7561"/>
    <w:rsid w:val="007C1DEA"/>
    <w:rsid w:val="007C2194"/>
    <w:rsid w:val="007D3DF4"/>
    <w:rsid w:val="007D50DD"/>
    <w:rsid w:val="007E120D"/>
    <w:rsid w:val="007E44E5"/>
    <w:rsid w:val="007E44E8"/>
    <w:rsid w:val="007E5525"/>
    <w:rsid w:val="007E5DCC"/>
    <w:rsid w:val="007F2650"/>
    <w:rsid w:val="007F626E"/>
    <w:rsid w:val="00803906"/>
    <w:rsid w:val="00813475"/>
    <w:rsid w:val="008139C1"/>
    <w:rsid w:val="0082272B"/>
    <w:rsid w:val="00822D11"/>
    <w:rsid w:val="00826DCF"/>
    <w:rsid w:val="00831202"/>
    <w:rsid w:val="008317E5"/>
    <w:rsid w:val="0083182E"/>
    <w:rsid w:val="00831EF0"/>
    <w:rsid w:val="0083473E"/>
    <w:rsid w:val="008354D4"/>
    <w:rsid w:val="0083574A"/>
    <w:rsid w:val="00841C02"/>
    <w:rsid w:val="008449CD"/>
    <w:rsid w:val="008462DE"/>
    <w:rsid w:val="00853130"/>
    <w:rsid w:val="00860450"/>
    <w:rsid w:val="0086276D"/>
    <w:rsid w:val="00863D5E"/>
    <w:rsid w:val="00863EA2"/>
    <w:rsid w:val="00866F69"/>
    <w:rsid w:val="008677AF"/>
    <w:rsid w:val="00870E83"/>
    <w:rsid w:val="00877DA5"/>
    <w:rsid w:val="0088092E"/>
    <w:rsid w:val="00880F69"/>
    <w:rsid w:val="008820F6"/>
    <w:rsid w:val="008826E6"/>
    <w:rsid w:val="00882F82"/>
    <w:rsid w:val="008842C1"/>
    <w:rsid w:val="00892558"/>
    <w:rsid w:val="00894B5D"/>
    <w:rsid w:val="008A08BC"/>
    <w:rsid w:val="008A4181"/>
    <w:rsid w:val="008A788E"/>
    <w:rsid w:val="008B1A83"/>
    <w:rsid w:val="008B3077"/>
    <w:rsid w:val="008B45E8"/>
    <w:rsid w:val="008C1DD9"/>
    <w:rsid w:val="008C3294"/>
    <w:rsid w:val="008C5594"/>
    <w:rsid w:val="008C63DA"/>
    <w:rsid w:val="008D03BA"/>
    <w:rsid w:val="008D05C5"/>
    <w:rsid w:val="008D33EF"/>
    <w:rsid w:val="008D4A5F"/>
    <w:rsid w:val="008E6477"/>
    <w:rsid w:val="008E6A27"/>
    <w:rsid w:val="008F5173"/>
    <w:rsid w:val="008F535B"/>
    <w:rsid w:val="00904F07"/>
    <w:rsid w:val="00906752"/>
    <w:rsid w:val="0091063B"/>
    <w:rsid w:val="00912934"/>
    <w:rsid w:val="00915C63"/>
    <w:rsid w:val="00917D9B"/>
    <w:rsid w:val="00921CB3"/>
    <w:rsid w:val="0092660D"/>
    <w:rsid w:val="00926CB1"/>
    <w:rsid w:val="00927D95"/>
    <w:rsid w:val="0093482D"/>
    <w:rsid w:val="00937219"/>
    <w:rsid w:val="0094131E"/>
    <w:rsid w:val="00943ABC"/>
    <w:rsid w:val="0094551A"/>
    <w:rsid w:val="00950BE2"/>
    <w:rsid w:val="00961657"/>
    <w:rsid w:val="0096568E"/>
    <w:rsid w:val="0096740E"/>
    <w:rsid w:val="00972D5B"/>
    <w:rsid w:val="00977ADC"/>
    <w:rsid w:val="009815AA"/>
    <w:rsid w:val="00985A4E"/>
    <w:rsid w:val="00995155"/>
    <w:rsid w:val="00995C2B"/>
    <w:rsid w:val="009A1AC8"/>
    <w:rsid w:val="009A203F"/>
    <w:rsid w:val="009B02D1"/>
    <w:rsid w:val="009B1AA5"/>
    <w:rsid w:val="009B755D"/>
    <w:rsid w:val="009C1718"/>
    <w:rsid w:val="009C2218"/>
    <w:rsid w:val="009C37B9"/>
    <w:rsid w:val="009C71D5"/>
    <w:rsid w:val="009D0D69"/>
    <w:rsid w:val="009D6553"/>
    <w:rsid w:val="009D7F58"/>
    <w:rsid w:val="009E0594"/>
    <w:rsid w:val="009E0C25"/>
    <w:rsid w:val="009E1A6C"/>
    <w:rsid w:val="009F41A7"/>
    <w:rsid w:val="009F68AD"/>
    <w:rsid w:val="00A02EA3"/>
    <w:rsid w:val="00A03C71"/>
    <w:rsid w:val="00A03D5D"/>
    <w:rsid w:val="00A0420B"/>
    <w:rsid w:val="00A05A2D"/>
    <w:rsid w:val="00A1016E"/>
    <w:rsid w:val="00A11191"/>
    <w:rsid w:val="00A12CE3"/>
    <w:rsid w:val="00A23764"/>
    <w:rsid w:val="00A26C73"/>
    <w:rsid w:val="00A26DF5"/>
    <w:rsid w:val="00A27840"/>
    <w:rsid w:val="00A329F4"/>
    <w:rsid w:val="00A337F8"/>
    <w:rsid w:val="00A36BA4"/>
    <w:rsid w:val="00A444F9"/>
    <w:rsid w:val="00A457FE"/>
    <w:rsid w:val="00A5273A"/>
    <w:rsid w:val="00A53850"/>
    <w:rsid w:val="00A53AD8"/>
    <w:rsid w:val="00A55000"/>
    <w:rsid w:val="00A563B9"/>
    <w:rsid w:val="00A61AFB"/>
    <w:rsid w:val="00A67B13"/>
    <w:rsid w:val="00A73E9F"/>
    <w:rsid w:val="00A824C3"/>
    <w:rsid w:val="00A82FF5"/>
    <w:rsid w:val="00A9192A"/>
    <w:rsid w:val="00A91B02"/>
    <w:rsid w:val="00A92B3B"/>
    <w:rsid w:val="00A93370"/>
    <w:rsid w:val="00AA016D"/>
    <w:rsid w:val="00AA0E35"/>
    <w:rsid w:val="00AA394F"/>
    <w:rsid w:val="00AB3E4E"/>
    <w:rsid w:val="00AB488C"/>
    <w:rsid w:val="00AC3A2F"/>
    <w:rsid w:val="00AD1533"/>
    <w:rsid w:val="00AE7D1B"/>
    <w:rsid w:val="00AF2F9A"/>
    <w:rsid w:val="00AF32A5"/>
    <w:rsid w:val="00B01F19"/>
    <w:rsid w:val="00B02B52"/>
    <w:rsid w:val="00B03B19"/>
    <w:rsid w:val="00B10A14"/>
    <w:rsid w:val="00B14602"/>
    <w:rsid w:val="00B14A1F"/>
    <w:rsid w:val="00B15AE8"/>
    <w:rsid w:val="00B16F8A"/>
    <w:rsid w:val="00B21A13"/>
    <w:rsid w:val="00B25013"/>
    <w:rsid w:val="00B275C8"/>
    <w:rsid w:val="00B277C1"/>
    <w:rsid w:val="00B27819"/>
    <w:rsid w:val="00B315CD"/>
    <w:rsid w:val="00B34191"/>
    <w:rsid w:val="00B36488"/>
    <w:rsid w:val="00B422A0"/>
    <w:rsid w:val="00B437EB"/>
    <w:rsid w:val="00B47EC7"/>
    <w:rsid w:val="00B5037F"/>
    <w:rsid w:val="00B5320B"/>
    <w:rsid w:val="00B54ABC"/>
    <w:rsid w:val="00B60BE6"/>
    <w:rsid w:val="00B63C03"/>
    <w:rsid w:val="00B64740"/>
    <w:rsid w:val="00B740F1"/>
    <w:rsid w:val="00B751E2"/>
    <w:rsid w:val="00B77265"/>
    <w:rsid w:val="00B82620"/>
    <w:rsid w:val="00B84D3D"/>
    <w:rsid w:val="00B91A3D"/>
    <w:rsid w:val="00B93978"/>
    <w:rsid w:val="00B974E8"/>
    <w:rsid w:val="00BA14D7"/>
    <w:rsid w:val="00BA4B02"/>
    <w:rsid w:val="00BC24C0"/>
    <w:rsid w:val="00BC7BCF"/>
    <w:rsid w:val="00BD16FF"/>
    <w:rsid w:val="00BD17F0"/>
    <w:rsid w:val="00BD5C30"/>
    <w:rsid w:val="00BD779F"/>
    <w:rsid w:val="00BE1E67"/>
    <w:rsid w:val="00BE46ED"/>
    <w:rsid w:val="00BE60A1"/>
    <w:rsid w:val="00BF02FD"/>
    <w:rsid w:val="00C01922"/>
    <w:rsid w:val="00C01F14"/>
    <w:rsid w:val="00C04155"/>
    <w:rsid w:val="00C06697"/>
    <w:rsid w:val="00C07D2C"/>
    <w:rsid w:val="00C105E4"/>
    <w:rsid w:val="00C15D5B"/>
    <w:rsid w:val="00C2460D"/>
    <w:rsid w:val="00C319B6"/>
    <w:rsid w:val="00C31AF2"/>
    <w:rsid w:val="00C3520D"/>
    <w:rsid w:val="00C405CB"/>
    <w:rsid w:val="00C42854"/>
    <w:rsid w:val="00C455BC"/>
    <w:rsid w:val="00C4621C"/>
    <w:rsid w:val="00C471BA"/>
    <w:rsid w:val="00C50BF9"/>
    <w:rsid w:val="00C51831"/>
    <w:rsid w:val="00C523F5"/>
    <w:rsid w:val="00C57A76"/>
    <w:rsid w:val="00C608EC"/>
    <w:rsid w:val="00C643CF"/>
    <w:rsid w:val="00C66D45"/>
    <w:rsid w:val="00C72AD9"/>
    <w:rsid w:val="00C72F1A"/>
    <w:rsid w:val="00C74255"/>
    <w:rsid w:val="00C744BD"/>
    <w:rsid w:val="00C76302"/>
    <w:rsid w:val="00C76EBA"/>
    <w:rsid w:val="00C83252"/>
    <w:rsid w:val="00CA6D50"/>
    <w:rsid w:val="00CB4B82"/>
    <w:rsid w:val="00CC0205"/>
    <w:rsid w:val="00CC63B2"/>
    <w:rsid w:val="00CC7505"/>
    <w:rsid w:val="00CC7931"/>
    <w:rsid w:val="00CD2A8E"/>
    <w:rsid w:val="00CD2D4F"/>
    <w:rsid w:val="00CD6476"/>
    <w:rsid w:val="00CD7BA9"/>
    <w:rsid w:val="00CE18F7"/>
    <w:rsid w:val="00CE3903"/>
    <w:rsid w:val="00CE47FC"/>
    <w:rsid w:val="00CE57D9"/>
    <w:rsid w:val="00CF0CC1"/>
    <w:rsid w:val="00CF2EC7"/>
    <w:rsid w:val="00CF43D8"/>
    <w:rsid w:val="00CF49AC"/>
    <w:rsid w:val="00CF75AD"/>
    <w:rsid w:val="00CF7B08"/>
    <w:rsid w:val="00D01D9A"/>
    <w:rsid w:val="00D04E17"/>
    <w:rsid w:val="00D1027A"/>
    <w:rsid w:val="00D10663"/>
    <w:rsid w:val="00D1240D"/>
    <w:rsid w:val="00D12DCC"/>
    <w:rsid w:val="00D14EAD"/>
    <w:rsid w:val="00D16E4D"/>
    <w:rsid w:val="00D17ECD"/>
    <w:rsid w:val="00D20338"/>
    <w:rsid w:val="00D23E57"/>
    <w:rsid w:val="00D25D5E"/>
    <w:rsid w:val="00D26766"/>
    <w:rsid w:val="00D30929"/>
    <w:rsid w:val="00D33C3E"/>
    <w:rsid w:val="00D42EE5"/>
    <w:rsid w:val="00D46819"/>
    <w:rsid w:val="00D46EE9"/>
    <w:rsid w:val="00D5070B"/>
    <w:rsid w:val="00D53038"/>
    <w:rsid w:val="00D60914"/>
    <w:rsid w:val="00D63E98"/>
    <w:rsid w:val="00D64823"/>
    <w:rsid w:val="00D657ED"/>
    <w:rsid w:val="00D72A35"/>
    <w:rsid w:val="00D846FA"/>
    <w:rsid w:val="00D861C4"/>
    <w:rsid w:val="00D871BB"/>
    <w:rsid w:val="00D90A9D"/>
    <w:rsid w:val="00D93B3E"/>
    <w:rsid w:val="00D93D2B"/>
    <w:rsid w:val="00D9573B"/>
    <w:rsid w:val="00D96F66"/>
    <w:rsid w:val="00DA38E2"/>
    <w:rsid w:val="00DA41BB"/>
    <w:rsid w:val="00DB4546"/>
    <w:rsid w:val="00DB752B"/>
    <w:rsid w:val="00DC0252"/>
    <w:rsid w:val="00DC151A"/>
    <w:rsid w:val="00DC23A2"/>
    <w:rsid w:val="00DC6CCD"/>
    <w:rsid w:val="00DD00FA"/>
    <w:rsid w:val="00DD3CA3"/>
    <w:rsid w:val="00DE0D0F"/>
    <w:rsid w:val="00DE364D"/>
    <w:rsid w:val="00DE6EBF"/>
    <w:rsid w:val="00DF7ED8"/>
    <w:rsid w:val="00E003A7"/>
    <w:rsid w:val="00E00C03"/>
    <w:rsid w:val="00E0182D"/>
    <w:rsid w:val="00E022B8"/>
    <w:rsid w:val="00E023E3"/>
    <w:rsid w:val="00E02CAD"/>
    <w:rsid w:val="00E07F2A"/>
    <w:rsid w:val="00E13F1B"/>
    <w:rsid w:val="00E13F3B"/>
    <w:rsid w:val="00E15F4E"/>
    <w:rsid w:val="00E2433D"/>
    <w:rsid w:val="00E25788"/>
    <w:rsid w:val="00E27704"/>
    <w:rsid w:val="00E27CF0"/>
    <w:rsid w:val="00E3122A"/>
    <w:rsid w:val="00E34385"/>
    <w:rsid w:val="00E37EF6"/>
    <w:rsid w:val="00E40113"/>
    <w:rsid w:val="00E41136"/>
    <w:rsid w:val="00E44C29"/>
    <w:rsid w:val="00E45625"/>
    <w:rsid w:val="00E459A3"/>
    <w:rsid w:val="00E45E94"/>
    <w:rsid w:val="00E53175"/>
    <w:rsid w:val="00E5391F"/>
    <w:rsid w:val="00E56433"/>
    <w:rsid w:val="00E569EA"/>
    <w:rsid w:val="00E5739F"/>
    <w:rsid w:val="00E61D84"/>
    <w:rsid w:val="00E66087"/>
    <w:rsid w:val="00E672BD"/>
    <w:rsid w:val="00E70259"/>
    <w:rsid w:val="00E72819"/>
    <w:rsid w:val="00E77869"/>
    <w:rsid w:val="00E8298C"/>
    <w:rsid w:val="00E871EF"/>
    <w:rsid w:val="00E93343"/>
    <w:rsid w:val="00E93AC5"/>
    <w:rsid w:val="00E976F4"/>
    <w:rsid w:val="00EA4698"/>
    <w:rsid w:val="00EA645A"/>
    <w:rsid w:val="00EA6AB0"/>
    <w:rsid w:val="00EB0097"/>
    <w:rsid w:val="00EB5D82"/>
    <w:rsid w:val="00EC71AC"/>
    <w:rsid w:val="00ED42D8"/>
    <w:rsid w:val="00ED4824"/>
    <w:rsid w:val="00ED6E10"/>
    <w:rsid w:val="00EE18C4"/>
    <w:rsid w:val="00EE31FF"/>
    <w:rsid w:val="00EF04A5"/>
    <w:rsid w:val="00EF1FA9"/>
    <w:rsid w:val="00EF2582"/>
    <w:rsid w:val="00EF2670"/>
    <w:rsid w:val="00EF3AE1"/>
    <w:rsid w:val="00EF4080"/>
    <w:rsid w:val="00EF5BEB"/>
    <w:rsid w:val="00EF75A6"/>
    <w:rsid w:val="00F01F0F"/>
    <w:rsid w:val="00F0355C"/>
    <w:rsid w:val="00F127CB"/>
    <w:rsid w:val="00F127DD"/>
    <w:rsid w:val="00F15E3B"/>
    <w:rsid w:val="00F16534"/>
    <w:rsid w:val="00F171F1"/>
    <w:rsid w:val="00F23B7C"/>
    <w:rsid w:val="00F24A16"/>
    <w:rsid w:val="00F276F2"/>
    <w:rsid w:val="00F32779"/>
    <w:rsid w:val="00F417F4"/>
    <w:rsid w:val="00F47B4A"/>
    <w:rsid w:val="00F5193D"/>
    <w:rsid w:val="00F52281"/>
    <w:rsid w:val="00F53773"/>
    <w:rsid w:val="00F55A04"/>
    <w:rsid w:val="00F5756D"/>
    <w:rsid w:val="00F63D57"/>
    <w:rsid w:val="00F71090"/>
    <w:rsid w:val="00F710B0"/>
    <w:rsid w:val="00F72D83"/>
    <w:rsid w:val="00F72DA0"/>
    <w:rsid w:val="00F7524D"/>
    <w:rsid w:val="00F80066"/>
    <w:rsid w:val="00F81B2F"/>
    <w:rsid w:val="00F81BF2"/>
    <w:rsid w:val="00F87EDD"/>
    <w:rsid w:val="00F915DF"/>
    <w:rsid w:val="00F93879"/>
    <w:rsid w:val="00F97D8B"/>
    <w:rsid w:val="00FA0F26"/>
    <w:rsid w:val="00FA1675"/>
    <w:rsid w:val="00FB01DE"/>
    <w:rsid w:val="00FB1F47"/>
    <w:rsid w:val="00FB3841"/>
    <w:rsid w:val="00FB71BD"/>
    <w:rsid w:val="00FB7D65"/>
    <w:rsid w:val="00FC0D68"/>
    <w:rsid w:val="00FD1CAF"/>
    <w:rsid w:val="00FE0790"/>
    <w:rsid w:val="00FE1DC8"/>
    <w:rsid w:val="00FE2687"/>
    <w:rsid w:val="00FF13E9"/>
    <w:rsid w:val="00FF1B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B557E"/>
  <w15:chartTrackingRefBased/>
  <w15:docId w15:val="{4492A3F9-7BBF-4FEF-9369-EF2E9058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2D221B"/>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6"/>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2D221B"/>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1"/>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Char,f"/>
    <w:basedOn w:val="Normal"/>
    <w:link w:val="FootnoteTextChar"/>
    <w:uiPriority w:val="99"/>
    <w:unhideWhenUsed/>
    <w:qFormat/>
    <w:rsid w:val="00A26DF5"/>
    <w:pPr>
      <w:spacing w:before="160" w:after="120" w:line="240" w:lineRule="auto"/>
    </w:pPr>
    <w:rPr>
      <w:noProof/>
      <w:color w:val="0B4E60" w:themeColor="text2"/>
      <w:szCs w:val="20"/>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Char Char"/>
    <w:basedOn w:val="DefaultParagraphFont"/>
    <w:link w:val="FootnoteText"/>
    <w:uiPriority w:val="99"/>
    <w:rsid w:val="00A26DF5"/>
    <w:rPr>
      <w:noProof/>
      <w:color w:val="0B4E60" w:themeColor="text2"/>
      <w:sz w:val="24"/>
      <w:szCs w:val="20"/>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30"/>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F5 List Paragraph,Dot pt,No Spacing1,List Paragraph Char Char Char,Indicator Text,List Paragraph1,Numbered Para 1,Bullet 1,List Paragraph12,Bullet Points,MAIN CONTENT,List Paragraph2,Normal numbered,List Paragraph11,OBC Bullet,Bullet Sty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5"/>
      </w:numPr>
    </w:pPr>
  </w:style>
  <w:style w:type="paragraph" w:styleId="ListBullet2">
    <w:name w:val="List Bullet 2"/>
    <w:basedOn w:val="Normal"/>
    <w:uiPriority w:val="99"/>
    <w:unhideWhenUsed/>
    <w:rsid w:val="00B14602"/>
    <w:pPr>
      <w:numPr>
        <w:numId w:val="2"/>
      </w:numPr>
      <w:contextualSpacing/>
    </w:pPr>
  </w:style>
  <w:style w:type="paragraph" w:styleId="ListBullet3">
    <w:name w:val="List Bullet 3"/>
    <w:basedOn w:val="Normal"/>
    <w:uiPriority w:val="99"/>
    <w:unhideWhenUsed/>
    <w:rsid w:val="00B14602"/>
    <w:pPr>
      <w:numPr>
        <w:numId w:val="3"/>
      </w:numPr>
      <w:contextualSpacing/>
    </w:pPr>
  </w:style>
  <w:style w:type="paragraph" w:styleId="ListBullet4">
    <w:name w:val="List Bullet 4"/>
    <w:basedOn w:val="Normal"/>
    <w:uiPriority w:val="99"/>
    <w:unhideWhenUsed/>
    <w:rsid w:val="00B14602"/>
    <w:pPr>
      <w:numPr>
        <w:numId w:val="4"/>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230678"/>
    <w:pPr>
      <w:numPr>
        <w:numId w:val="8"/>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8"/>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7"/>
      </w:numPr>
    </w:pPr>
  </w:style>
  <w:style w:type="numbering" w:customStyle="1" w:styleId="StyleNumberedLeft0cmHanging127cm">
    <w:name w:val="Style Numbered Left:  0 cm Hanging:  1.27 cm"/>
    <w:basedOn w:val="NoList"/>
    <w:rsid w:val="00420E5D"/>
    <w:pPr>
      <w:numPr>
        <w:numId w:val="9"/>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10"/>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4"/>
      </w:numPr>
    </w:pPr>
  </w:style>
  <w:style w:type="paragraph" w:customStyle="1" w:styleId="Boxnumberedlist">
    <w:name w:val="Box numbered list"/>
    <w:basedOn w:val="Boxtext"/>
    <w:uiPriority w:val="6"/>
    <w:rsid w:val="00A82FF5"/>
    <w:pPr>
      <w:numPr>
        <w:numId w:val="11"/>
      </w:numPr>
      <w:ind w:left="709" w:hanging="567"/>
    </w:pPr>
  </w:style>
  <w:style w:type="numbering" w:customStyle="1" w:styleId="Basicbulletlist">
    <w:name w:val="Basic bullet list"/>
    <w:uiPriority w:val="99"/>
    <w:rsid w:val="00283666"/>
    <w:pPr>
      <w:numPr>
        <w:numId w:val="12"/>
      </w:numPr>
    </w:pPr>
  </w:style>
  <w:style w:type="numbering" w:customStyle="1" w:styleId="Boxbulletlist">
    <w:name w:val="Box bullet list"/>
    <w:uiPriority w:val="99"/>
    <w:rsid w:val="00283666"/>
    <w:pPr>
      <w:numPr>
        <w:numId w:val="13"/>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28"/>
      </w:numPr>
    </w:pPr>
  </w:style>
  <w:style w:type="numbering" w:customStyle="1" w:styleId="StyleOutlinenumberedLatinHeadingsArialComplexHeadi2">
    <w:name w:val="Style Outline numbered (Latin) +Headings (Arial) (Complex) +Headi...2"/>
    <w:basedOn w:val="NoList"/>
    <w:rsid w:val="004E2C9C"/>
    <w:pPr>
      <w:numPr>
        <w:numId w:val="32"/>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istParagraphChar">
    <w:name w:val="List Paragraph Char"/>
    <w:aliases w:val="F5 List Paragraph Char,Dot pt Char,No Spacing1 Char,List Paragraph Char Char Char Char,Indicator Text Char,List Paragraph1 Char,Numbered Para 1 Char,Bullet 1 Char,List Paragraph12 Char,Bullet Points Char,MAIN CONTENT Char"/>
    <w:basedOn w:val="DefaultParagraphFont"/>
    <w:link w:val="ListParagraph"/>
    <w:uiPriority w:val="34"/>
    <w:qFormat/>
    <w:locked/>
    <w:rsid w:val="006666F4"/>
    <w:rPr>
      <w:sz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E5FC2"/>
    <w:pPr>
      <w:keepLines w:val="0"/>
      <w:spacing w:before="0" w:after="160" w:line="240" w:lineRule="exact"/>
      <w:jc w:val="both"/>
    </w:pPr>
    <w:rPr>
      <w:sz w:val="22"/>
      <w:vertAlign w:val="superscript"/>
    </w:rPr>
  </w:style>
  <w:style w:type="paragraph" w:customStyle="1" w:styleId="mainbodycopy">
    <w:name w:val="&gt; main body copy"/>
    <w:basedOn w:val="Normal"/>
    <w:qFormat/>
    <w:rsid w:val="00D5070B"/>
    <w:pPr>
      <w:keepLines w:val="0"/>
      <w:spacing w:before="0" w:after="360" w:line="360" w:lineRule="auto"/>
    </w:pPr>
    <w:rPr>
      <w:rFonts w:ascii="Arial" w:eastAsia="Calibri" w:hAnsi="Arial" w:cs="Arial"/>
      <w:spacing w:val="3"/>
      <w:szCs w:val="24"/>
    </w:rPr>
  </w:style>
  <w:style w:type="paragraph" w:customStyle="1" w:styleId="aaa">
    <w:name w:val="aaa"/>
    <w:basedOn w:val="Normal"/>
    <w:link w:val="aaaChar"/>
    <w:qFormat/>
    <w:rsid w:val="001E1BD1"/>
    <w:pPr>
      <w:keepLines w:val="0"/>
      <w:numPr>
        <w:numId w:val="53"/>
      </w:numPr>
      <w:suppressAutoHyphens/>
      <w:spacing w:before="0" w:after="120" w:line="240" w:lineRule="atLeast"/>
      <w:ind w:right="95"/>
    </w:pPr>
    <w:rPr>
      <w:rFonts w:ascii="Arial" w:eastAsia="SimSun" w:hAnsi="Arial" w:cs="Arial"/>
      <w:sz w:val="28"/>
      <w:szCs w:val="28"/>
      <w:lang w:val="de-DE" w:eastAsia="zh-CN"/>
    </w:rPr>
  </w:style>
  <w:style w:type="character" w:customStyle="1" w:styleId="aaaChar">
    <w:name w:val="aaa Char"/>
    <w:basedOn w:val="DefaultParagraphFont"/>
    <w:link w:val="aaa"/>
    <w:rsid w:val="001E1BD1"/>
    <w:rPr>
      <w:rFonts w:ascii="Arial" w:eastAsia="SimSun" w:hAnsi="Arial" w:cs="Arial"/>
      <w:sz w:val="28"/>
      <w:szCs w:val="28"/>
      <w:lang w:val="de-DE" w:eastAsia="zh-CN"/>
    </w:rPr>
  </w:style>
  <w:style w:type="paragraph" w:customStyle="1" w:styleId="ddd">
    <w:name w:val="ddd"/>
    <w:basedOn w:val="aaa"/>
    <w:qFormat/>
    <w:rsid w:val="001E1BD1"/>
    <w:pPr>
      <w:numPr>
        <w:ilvl w:val="1"/>
      </w:numPr>
      <w:tabs>
        <w:tab w:val="num" w:pos="926"/>
      </w:tabs>
      <w:ind w:left="2127" w:hanging="567"/>
    </w:pPr>
    <w:rPr>
      <w:lang w:val="en-US"/>
    </w:rPr>
  </w:style>
  <w:style w:type="character" w:customStyle="1" w:styleId="UnresolvedMention">
    <w:name w:val="Unresolved Mention"/>
    <w:basedOn w:val="DefaultParagraphFont"/>
    <w:uiPriority w:val="99"/>
    <w:semiHidden/>
    <w:unhideWhenUsed/>
    <w:rsid w:val="000B3CE4"/>
    <w:rPr>
      <w:color w:val="605E5C"/>
      <w:shd w:val="clear" w:color="auto" w:fill="E1DFDD"/>
    </w:rPr>
  </w:style>
  <w:style w:type="paragraph" w:styleId="Revision">
    <w:name w:val="Revision"/>
    <w:hidden/>
    <w:uiPriority w:val="99"/>
    <w:semiHidden/>
    <w:rsid w:val="00C643CF"/>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respondence@equalityhumanright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equalityhumanrights.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qualityadvisoryservice.co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alityhumanrights.com/"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qualityhumanrights.com/en/newsletter-sign"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respondence@equalityhumanrights.com"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digital.nhs.uk/data-and-information/publications/statistical/learning-disability-services-statistics/at-december-2020-mhsds-october-2020-final" TargetMode="External"/><Relationship Id="rId117" Type="http://schemas.openxmlformats.org/officeDocument/2006/relationships/hyperlink" Target="https://tbinternet.ohchr.org/_layouts/15/treatybodyexternal/Download.aspx?symbolno=CRPD/C/GC/4&amp;Lang=en" TargetMode="External"/><Relationship Id="rId21" Type="http://schemas.openxmlformats.org/officeDocument/2006/relationships/hyperlink" Target="https://www.cqc.org.uk/publications/themed-work/rssreview" TargetMode="External"/><Relationship Id="rId42" Type="http://schemas.openxmlformats.org/officeDocument/2006/relationships/hyperlink" Target="https://www.rethink.org/news-and-stories/blogs/2020/07/how-covid-19-limited-my-access-to-mental-health-support/" TargetMode="External"/><Relationship Id="rId47" Type="http://schemas.openxmlformats.org/officeDocument/2006/relationships/hyperlink" Target="https://www.equalityhumanrights.com/en/legal-responses/consultation-responses" TargetMode="External"/><Relationship Id="rId63" Type="http://schemas.openxmlformats.org/officeDocument/2006/relationships/hyperlink" Target="https://www.equalityhumanrights.com/en/publication-download/human-rights-framework-restraint" TargetMode="External"/><Relationship Id="rId68" Type="http://schemas.openxmlformats.org/officeDocument/2006/relationships/hyperlink" Target="https://www.kingsfund.org.uk/sites/default/files/2020-05/Social%20care%20360%202020%20PDF_0.pdf" TargetMode="External"/><Relationship Id="rId84" Type="http://schemas.openxmlformats.org/officeDocument/2006/relationships/hyperlink" Target="http://www.sisofrida.org/wp-content/uploads/2020/05/The-impact-of-COVID-19-on-Disabled-women-from-Sisters-of-Frida.pdf" TargetMode="External"/><Relationship Id="rId89" Type="http://schemas.openxmlformats.org/officeDocument/2006/relationships/hyperlink" Target="https://www.cascaidr.org.uk/2020/03/20/the-emergency-powers-bill-as-it-affects-the-care-act/" TargetMode="External"/><Relationship Id="rId112" Type="http://schemas.openxmlformats.org/officeDocument/2006/relationships/hyperlink" Target="https://humanrightstracker.com/en/progress-assessment/inclusive-education-uk-government-assessment/" TargetMode="External"/><Relationship Id="rId133" Type="http://schemas.openxmlformats.org/officeDocument/2006/relationships/hyperlink" Target="https://assets.publishing.service.gov.uk/government/uploads/system/uploads/attachment_data/file/663399/improving-lives-the-future-of-work-health-and-disability.PDF" TargetMode="External"/><Relationship Id="rId138" Type="http://schemas.openxmlformats.org/officeDocument/2006/relationships/hyperlink" Target="https://www.equalityhumanrights.com/sites/default/files/equality_and_human_rights_commission_how_coronavirus_has_affected_equality_and_human_rights_2020.pdf" TargetMode="External"/><Relationship Id="rId154" Type="http://schemas.openxmlformats.org/officeDocument/2006/relationships/hyperlink" Target="https://committees.parliament.uk/publications/1558/documents/14743/default/" TargetMode="External"/><Relationship Id="rId159" Type="http://schemas.openxmlformats.org/officeDocument/2006/relationships/hyperlink" Target="https://www.equalityhumanrights.com/en/publication-download/housing-and-disabled-people-britains-hidden-crisis" TargetMode="External"/><Relationship Id="rId175" Type="http://schemas.openxmlformats.org/officeDocument/2006/relationships/hyperlink" Target="https://tbinternet.ohchr.org/_layouts/treatybodyexternal/Download.aspx?symbolno=CRPD%2fC%2fGBR%2fCO%2f1&amp;Lang=en" TargetMode="External"/><Relationship Id="rId170" Type="http://schemas.openxmlformats.org/officeDocument/2006/relationships/hyperlink" Target="https://www.ohchr.org/EN/ProfessionalInterest/Pages/CRC.aspx" TargetMode="External"/><Relationship Id="rId16" Type="http://schemas.openxmlformats.org/officeDocument/2006/relationships/hyperlink" Target="https://publications.parliament.uk/pa/jt201919/jtselect/jtrights/121/121.pdf" TargetMode="External"/><Relationship Id="rId107" Type="http://schemas.openxmlformats.org/officeDocument/2006/relationships/hyperlink" Target="https://www.gov.uk/government/news/thousands-of-places-created-in-new-special-free-schools--2" TargetMode="External"/><Relationship Id="rId11" Type="http://schemas.openxmlformats.org/officeDocument/2006/relationships/hyperlink" Target="https://tbinternet.ohchr.org/_layouts/15/treatybodyexternal/Download.aspx?symbolno=CRPD/C/GC/7&amp;Lang=en" TargetMode="External"/><Relationship Id="rId32" Type="http://schemas.openxmlformats.org/officeDocument/2006/relationships/hyperlink" Target="https://www.cqc.org.uk/news/stories/cqc-publishes-data-deaths-people-learning-disability" TargetMode="External"/><Relationship Id="rId37" Type="http://schemas.openxmlformats.org/officeDocument/2006/relationships/hyperlink" Target="https://www.england.nhs.uk/wp-content/uploads/2016/02/Mental-Health-Taskforce-FYFV-final.pdf" TargetMode="External"/><Relationship Id="rId53" Type="http://schemas.openxmlformats.org/officeDocument/2006/relationships/hyperlink" Target="https://www.equalityhumanrights.com/en/legal-responses/consultation-responses" TargetMode="External"/><Relationship Id="rId58" Type="http://schemas.openxmlformats.org/officeDocument/2006/relationships/hyperlink" Target="https://www.legislation.gov.uk/ukpga/2018/27/enacted" TargetMode="External"/><Relationship Id="rId74" Type="http://schemas.openxmlformats.org/officeDocument/2006/relationships/hyperlink" Target="https://tbinternet.ohchr.org/_layouts/15/treatybodyexternal/Download.aspx?symbolno=CRPD/C/GC/5&amp;Lang=en" TargetMode="External"/><Relationship Id="rId79" Type="http://schemas.openxmlformats.org/officeDocument/2006/relationships/hyperlink" Target="https://publications.parliament.uk/pa/bills/lbill/58-01/110/5801110en.pdf" TargetMode="External"/><Relationship Id="rId102" Type="http://schemas.openxmlformats.org/officeDocument/2006/relationships/hyperlink" Target="https://committees.parliament.uk/work/35/support-for-children-with-special-educational-needs-and-disabilities/publications/" TargetMode="External"/><Relationship Id="rId123" Type="http://schemas.openxmlformats.org/officeDocument/2006/relationships/hyperlink" Target="https://www.gov.uk/government/publications/guidance-for-full-opening-special-schools-and-other-specialist-settings/guidance-for-full-opening-special-schools-and-other-specialist-settings" TargetMode="External"/><Relationship Id="rId128" Type="http://schemas.openxmlformats.org/officeDocument/2006/relationships/hyperlink" Target="https://www.specialneedsjungle.com/coronavirus-disabled-childrens-education-rights-must-be-restored-now-before-any-formal-return-school/" TargetMode="External"/><Relationship Id="rId144" Type="http://schemas.openxmlformats.org/officeDocument/2006/relationships/hyperlink" Target="https://tbinternet.ohchr.org/_layouts/15/treatybodyexternal/Download.aspx?symbolno=CRPD%2fC%2f15%2f4&amp;Lang=en" TargetMode="External"/><Relationship Id="rId149" Type="http://schemas.openxmlformats.org/officeDocument/2006/relationships/hyperlink" Target="https://www.ifs.org.uk/publications/14879" TargetMode="External"/><Relationship Id="rId5" Type="http://schemas.openxmlformats.org/officeDocument/2006/relationships/hyperlink" Target="https://www.gov.uk/government/statistics/family-resources-survey-financial-year-201819" TargetMode="External"/><Relationship Id="rId90" Type="http://schemas.openxmlformats.org/officeDocument/2006/relationships/hyperlink" Target="https://www.inclusionlondon.org.uk/wp-content/uploads/2020/06/Abandoned-Forgotten-and-Ignored-Final-1.pdf" TargetMode="External"/><Relationship Id="rId95" Type="http://schemas.openxmlformats.org/officeDocument/2006/relationships/hyperlink" Target="https://committees.parliament.uk/publications/4068/documents/40461/default/" TargetMode="External"/><Relationship Id="rId160" Type="http://schemas.openxmlformats.org/officeDocument/2006/relationships/hyperlink" Target="https://www.legislation.gov.uk/ukpga/2010/15/section/36" TargetMode="External"/><Relationship Id="rId165" Type="http://schemas.openxmlformats.org/officeDocument/2006/relationships/hyperlink" Target="https://www.gov.uk/government/publications/inclusive-transport-strategy" TargetMode="External"/><Relationship Id="rId22" Type="http://schemas.openxmlformats.org/officeDocument/2006/relationships/hyperlink" Target="https://assets.publishing.service.gov.uk/government/uploads/system/uploads/attachment_data/file/213215/final-report.pdf" TargetMode="External"/><Relationship Id="rId27" Type="http://schemas.openxmlformats.org/officeDocument/2006/relationships/hyperlink" Target="https://www.cqc.org.uk/publications/themed-work/rssreview" TargetMode="External"/><Relationship Id="rId43" Type="http://schemas.openxmlformats.org/officeDocument/2006/relationships/hyperlink" Target="https://www.cqc.org.uk/publications/major-report/monitoring-mental-health-act-201920-mental-health-act-coronavirus-covid-19" TargetMode="External"/><Relationship Id="rId48" Type="http://schemas.openxmlformats.org/officeDocument/2006/relationships/hyperlink" Target="https://www.cqc.org.uk/publications/major-report/monitoring-mental-health-act-201920-mental-health-act-coronavirus-covid-19" TargetMode="External"/><Relationship Id="rId64" Type="http://schemas.openxmlformats.org/officeDocument/2006/relationships/hyperlink" Target="https://www.gov.uk/government/publications/care-act-statutory-guidance/care-and-support-statutory-guidance" TargetMode="External"/><Relationship Id="rId69" Type="http://schemas.openxmlformats.org/officeDocument/2006/relationships/hyperlink" Target="https://www.legislation.gov.uk/ukpga/2014/23/contents/enacted" TargetMode="External"/><Relationship Id="rId113" Type="http://schemas.openxmlformats.org/officeDocument/2006/relationships/hyperlink" Target="https://tbinternet.ohchr.org/_layouts/15/treatybodyexternal/Download.aspx?symbolno=CRPD%2fC%2fGBR%2fQ%2f1%2fAdd.1&amp;Lang=en" TargetMode="External"/><Relationship Id="rId118" Type="http://schemas.openxmlformats.org/officeDocument/2006/relationships/hyperlink" Target="https://committees.parliament.uk/work/320/unequal-impact-coronavirus-disability-and-access-to-services/publications/reports/" TargetMode="External"/><Relationship Id="rId134" Type="http://schemas.openxmlformats.org/officeDocument/2006/relationships/hyperlink" Target="https://www.gov.uk/government/publications/disabled-peoples-rights-the-uks-2019-report-on-select-recommendations-of-the-un-periodic-review/2019-progress-report-on-the-uks-vision-to-build-a-society-which-is-fully-inclusive-of-disabled-people" TargetMode="External"/><Relationship Id="rId139" Type="http://schemas.openxmlformats.org/officeDocument/2006/relationships/hyperlink" Target="https://www.citizensadvice.org.uk/about-us/policy/policy-research-topics/work-policy-research-surveys-and-consultation-responses/work-policy-research/an-unequal-crisis/" TargetMode="External"/><Relationship Id="rId80" Type="http://schemas.openxmlformats.org/officeDocument/2006/relationships/hyperlink" Target="https://committees.parliament.uk/publications/2710/documents/27010/default/" TargetMode="External"/><Relationship Id="rId85" Type="http://schemas.openxmlformats.org/officeDocument/2006/relationships/hyperlink" Target="https://www.inclusionlondon.org.uk/wp-content/uploads/2020/06/Abandoned-Forgotten-and-Ignored-Final-1.pdf" TargetMode="External"/><Relationship Id="rId150" Type="http://schemas.openxmlformats.org/officeDocument/2006/relationships/hyperlink" Target="https://socialmetricscommission.org.uk/poverty-and-covid-2/" TargetMode="External"/><Relationship Id="rId155" Type="http://schemas.openxmlformats.org/officeDocument/2006/relationships/hyperlink" Target="https://tbinternet.ohchr.org/_layouts/15/treatybodyexternal/Download.aspx?symbolno=CRPD/C/GC/5&amp;Lang=en" TargetMode="External"/><Relationship Id="rId171" Type="http://schemas.openxmlformats.org/officeDocument/2006/relationships/hyperlink" Target="https://committees.parliament.uk/publications/2710/documents/27010/default/" TargetMode="External"/><Relationship Id="rId176" Type="http://schemas.openxmlformats.org/officeDocument/2006/relationships/hyperlink" Target="https://www.equalityhumanrights.com/en/publication-download/disability-rights-uk-updated-submission-un-committee-rights-persons" TargetMode="External"/><Relationship Id="rId12" Type="http://schemas.openxmlformats.org/officeDocument/2006/relationships/hyperlink" Target="https://www.equalityhumanrights.com/sites/default/files/210212_ehrc_submission_to_inform_the_national_disability_strategy.docx" TargetMode="External"/><Relationship Id="rId17" Type="http://schemas.openxmlformats.org/officeDocument/2006/relationships/hyperlink" Target="https://tbinternet.ohchr.org/_layouts/treatybodyexternal/Download.aspx?symbolno=CRPD%2fC%2fGBR%2fCO%2f1&amp;Lang=en" TargetMode="External"/><Relationship Id="rId33" Type="http://schemas.openxmlformats.org/officeDocument/2006/relationships/hyperlink" Target="https://www.gov.uk/government/publications/covid-19-deaths-of-people-with-learning-disabilities" TargetMode="External"/><Relationship Id="rId38" Type="http://schemas.openxmlformats.org/officeDocument/2006/relationships/hyperlink" Target="https://www.longtermplan.nhs.uk/" TargetMode="External"/><Relationship Id="rId59" Type="http://schemas.openxmlformats.org/officeDocument/2006/relationships/hyperlink" Target="https://www.theguardian.com/society/2020/jul/20/parents-of-man-who-died-after-police-restraint-challenge-delay-over-senis-law" TargetMode="External"/><Relationship Id="rId103" Type="http://schemas.openxmlformats.org/officeDocument/2006/relationships/hyperlink" Target="https://www.ons.gov.uk/peoplepopulationandcommunity/healthandsocialcare/disability/bulletins/disabilityandeducationuk/2019" TargetMode="External"/><Relationship Id="rId108" Type="http://schemas.openxmlformats.org/officeDocument/2006/relationships/hyperlink" Target="https://humanrightstracker.com/en/progress-assessment/inclusive-education-uk-government-assessment/" TargetMode="External"/><Relationship Id="rId124" Type="http://schemas.openxmlformats.org/officeDocument/2006/relationships/hyperlink" Target="https://www.theguardian.com/education/2020/jul/01/english-schools-using-coronavirus-as-excuse-not-to-teach-special-needs-pupils" TargetMode="External"/><Relationship Id="rId129" Type="http://schemas.openxmlformats.org/officeDocument/2006/relationships/hyperlink" Target="https://committees.parliament.uk/publications/2710/documents/27010/default/" TargetMode="External"/><Relationship Id="rId54" Type="http://schemas.openxmlformats.org/officeDocument/2006/relationships/hyperlink" Target="https://www.bbc.co.uk/news/health-55639104" TargetMode="External"/><Relationship Id="rId70" Type="http://schemas.openxmlformats.org/officeDocument/2006/relationships/hyperlink" Target="https://tbinternet.ohchr.org/_layouts/15/treatybodyexternal/Download.aspx?symbolno=CRPD%2fC%2f15%2f4&amp;Lang=en" TargetMode="External"/><Relationship Id="rId75" Type="http://schemas.openxmlformats.org/officeDocument/2006/relationships/hyperlink" Target="https://commonslibrary.parliament.uk/research-briefings/cdp-2018-0004/" TargetMode="External"/><Relationship Id="rId91" Type="http://schemas.openxmlformats.org/officeDocument/2006/relationships/hyperlink" Target="https://www.theguardian.com/society/2020/jun/19/coronavirus-45m-people-in-uk-forced-to-become-unpaid-carers?CMP=Share_AndroidApp_Gmail" TargetMode="External"/><Relationship Id="rId96" Type="http://schemas.openxmlformats.org/officeDocument/2006/relationships/hyperlink" Target="https://www.equalityhumanrights.com/sites/default/files/parliamentary_briefing_equality_and_human_rights_in_residential_care_coronavirus.docx" TargetMode="External"/><Relationship Id="rId140" Type="http://schemas.openxmlformats.org/officeDocument/2006/relationships/hyperlink" Target="https://www.leonardcheshire.org/sites/default/files/2020-10/Locked-out-of-labour-market.pdf" TargetMode="External"/><Relationship Id="rId145" Type="http://schemas.openxmlformats.org/officeDocument/2006/relationships/hyperlink" Target="https://pure.york.ac.uk/portal/en/publications/final-findings-disabled-people(fe6fe8d6-4616-4416-8d52-28f66e1e58f2).html" TargetMode="External"/><Relationship Id="rId161" Type="http://schemas.openxmlformats.org/officeDocument/2006/relationships/hyperlink" Target="https://www.equalityhumanrights.com/en/publication-download/housing-and-disabled-people-britains-hidden-crisis" TargetMode="External"/><Relationship Id="rId166" Type="http://schemas.openxmlformats.org/officeDocument/2006/relationships/hyperlink" Target="https://www.london.gov.uk/sites/default/files/accessible_transport_final.pdf" TargetMode="External"/><Relationship Id="rId1" Type="http://schemas.openxmlformats.org/officeDocument/2006/relationships/hyperlink" Target="https://tbinternet.ohchr.org/_layouts/15/treatybodyexternal/Download.aspx?symbolno=CRPD/C/GC/5&amp;Lang=en" TargetMode="External"/><Relationship Id="rId6" Type="http://schemas.openxmlformats.org/officeDocument/2006/relationships/hyperlink" Target="https://www.ohchr.org/EN/HRBodies/CRPD/Pages/OptionalProtocolRightsPersonsWithDisabilities.aspx" TargetMode="External"/><Relationship Id="rId23" Type="http://schemas.openxmlformats.org/officeDocument/2006/relationships/hyperlink" Target="https://www.england.nhs.uk/wp-content/uploads/2015/10/ld-nat-imp-plan-oct15.pdf" TargetMode="External"/><Relationship Id="rId28" Type="http://schemas.openxmlformats.org/officeDocument/2006/relationships/hyperlink" Target="https://www.equalityhumanrights.com/en/our-work/news/health-secretary-faces-legal-challenge-failing-patients-learning-disabilities-and" TargetMode="External"/><Relationship Id="rId49" Type="http://schemas.openxmlformats.org/officeDocument/2006/relationships/hyperlink" Target="https://www.england.nhs.uk/coronavirus/publication/letter-responding-to-covid-19-mental-health-learning-disabilities-and-autism/" TargetMode="External"/><Relationship Id="rId114" Type="http://schemas.openxmlformats.org/officeDocument/2006/relationships/hyperlink" Target="https://tbinternet.ohchr.org/_layouts/15/treatybodyexternal/Download.aspx?symbolno=CRPD%2fC%2fGBR%2fCO%2f1&amp;Lang=en" TargetMode="External"/><Relationship Id="rId119" Type="http://schemas.openxmlformats.org/officeDocument/2006/relationships/hyperlink" Target="https://www.local.gov.uk/lga-analysis-covid-19-council-funding-gap-widens-ps74-billion" TargetMode="External"/><Relationship Id="rId10" Type="http://schemas.openxmlformats.org/officeDocument/2006/relationships/hyperlink" Target="https://humanrightstracker.com/en/progress-assessment/independent-living-uk-government-assessment/" TargetMode="External"/><Relationship Id="rId31" Type="http://schemas.openxmlformats.org/officeDocument/2006/relationships/hyperlink" Target="https://www.mencap.org.uk/press-release/mencap-and-challenging-behaviour-foundation-warn-covid-19-causing-even-more-delays" TargetMode="External"/><Relationship Id="rId44" Type="http://schemas.openxmlformats.org/officeDocument/2006/relationships/hyperlink" Target="https://www.nhsconfed.org/-/media/Confederation/Files/Publications/Documents/Report_Mental-health-services-NHS-Reset_FNL.pdf" TargetMode="External"/><Relationship Id="rId52" Type="http://schemas.openxmlformats.org/officeDocument/2006/relationships/hyperlink" Target="https://www.gov.uk/government/consultations/reforming-the-mental-health-act" TargetMode="External"/><Relationship Id="rId60" Type="http://schemas.openxmlformats.org/officeDocument/2006/relationships/hyperlink" Target="https://www.legislation.gov.uk/ukpga/2019/18/enacted" TargetMode="External"/><Relationship Id="rId65" Type="http://schemas.openxmlformats.org/officeDocument/2006/relationships/hyperlink" Target="https://humanrightstracker.com/en/progress-assessment/social-care-uk-government-assessment/" TargetMode="External"/><Relationship Id="rId73" Type="http://schemas.openxmlformats.org/officeDocument/2006/relationships/hyperlink" Target="https://www.carersuk.org/news-and-campaigns/press-releases/facts-and-figures" TargetMode="External"/><Relationship Id="rId78" Type="http://schemas.openxmlformats.org/officeDocument/2006/relationships/hyperlink" Target="http://www.legislation.gov.uk/ukpga/2020/7/contents/enacted" TargetMode="External"/><Relationship Id="rId81" Type="http://schemas.openxmlformats.org/officeDocument/2006/relationships/hyperlink" Target="https://www.cqc.org.uk/guidance-providers/adult-social-care/care-act-easements-it" TargetMode="External"/><Relationship Id="rId86" Type="http://schemas.openxmlformats.org/officeDocument/2006/relationships/hyperlink" Target="https://committees.parliament.uk/oralevidence/579/pdf/" TargetMode="External"/><Relationship Id="rId94" Type="http://schemas.openxmlformats.org/officeDocument/2006/relationships/hyperlink" Target="https://committees.parliament.uk/publications/3120/documents/29193/default/" TargetMode="External"/><Relationship Id="rId99" Type="http://schemas.openxmlformats.org/officeDocument/2006/relationships/hyperlink" Target="https://www.legislation.gov.uk/ukpga/2014/6/contents/enacted" TargetMode="External"/><Relationship Id="rId101" Type="http://schemas.openxmlformats.org/officeDocument/2006/relationships/hyperlink" Target="https://www.lgo.org.uk/assets/attach/5693/EHCP-2019-vfC.pdf" TargetMode="External"/><Relationship Id="rId122" Type="http://schemas.openxmlformats.org/officeDocument/2006/relationships/hyperlink" Target="https://www.gov.uk/government/publications/changes-to-the-law-on-education-health-and-care-needs-assessments-and-plans-due-to-coronavirus/education-health-and-care-needs-assessments-and-plans-guidance-on-temporary-legislative-changes-relating-to-coronavirus-covid-19" TargetMode="External"/><Relationship Id="rId130" Type="http://schemas.openxmlformats.org/officeDocument/2006/relationships/hyperlink" Target="https://s3-eu-west-2.amazonaws.com/npm-prod-storage-19n0nag2nk8xk/uploads/2020/03/NPM-letter-to-Robert-Buckland-re-COVID19-300320.docx-WEB-2.pdf" TargetMode="External"/><Relationship Id="rId135" Type="http://schemas.openxmlformats.org/officeDocument/2006/relationships/hyperlink" Target="https://www.ons.gov.uk/employmentandlabourmarket/peopleinwork/employmentandemployeetypes/datasets/labourmarketstatusofdisabledpeoplea08" TargetMode="External"/><Relationship Id="rId143" Type="http://schemas.openxmlformats.org/officeDocument/2006/relationships/hyperlink" Target="https://www.equalityhumanrights.com/en/publication-download/cumulative-impact-tax-and-welfare-reforms" TargetMode="External"/><Relationship Id="rId148" Type="http://schemas.openxmlformats.org/officeDocument/2006/relationships/hyperlink" Target="https://www.equalityhumanrights.com/sites/default/files/equality_and_human_rights_commission_how_coronavirus_has_affected_equality_and_human_rights_2020.pdf" TargetMode="External"/><Relationship Id="rId151" Type="http://schemas.openxmlformats.org/officeDocument/2006/relationships/hyperlink" Target="https://www.ons.gov.uk/peoplepopulationandcommunity/healthandsocialcare/disability/articles/coronavirusandthesocialimpactsondisabledpeopleingreatbritain/july2020" TargetMode="External"/><Relationship Id="rId156" Type="http://schemas.openxmlformats.org/officeDocument/2006/relationships/hyperlink" Target="https://www.equalityhumanrights.com/en/publication-download/housing-and-disabled-people-britains-hidden-crisis" TargetMode="External"/><Relationship Id="rId164" Type="http://schemas.openxmlformats.org/officeDocument/2006/relationships/hyperlink" Target="https://assets.publishing.service.gov.uk/government/uploads/system/uploads/attachment_data/file/814862/experiences-of-disabled-rail-passengers.pdf" TargetMode="External"/><Relationship Id="rId169" Type="http://schemas.openxmlformats.org/officeDocument/2006/relationships/hyperlink" Target="https://www.scope.org.uk/campaigns/travel-fair/" TargetMode="External"/><Relationship Id="rId177" Type="http://schemas.openxmlformats.org/officeDocument/2006/relationships/hyperlink" Target="https://www.equalityhumanrights.com/en/publication-download/disability-rights-uk-updated-submission-un-committee-rights-persons" TargetMode="External"/><Relationship Id="rId4" Type="http://schemas.openxmlformats.org/officeDocument/2006/relationships/hyperlink" Target="https://www.gov.scot/news/new-national-taskforce-starts-work-on-human-rights/" TargetMode="External"/><Relationship Id="rId9" Type="http://schemas.openxmlformats.org/officeDocument/2006/relationships/hyperlink" Target="https://tbinternet.ohchr.org/_layouts/15/treatybodyexternal/Download.aspx?symbolno=CRPD%2fC%2f15%2f4&amp;Lang=en" TargetMode="External"/><Relationship Id="rId172" Type="http://schemas.openxmlformats.org/officeDocument/2006/relationships/hyperlink" Target="https://www.equalityhumanrights.com/en/publication-download/housing-and-disabled-people-britains-hidden-crisis" TargetMode="External"/><Relationship Id="rId180" Type="http://schemas.openxmlformats.org/officeDocument/2006/relationships/hyperlink" Target="https://tbinternet.ohchr.org/_layouts/treatybodyexternal/Download.aspx?symbolno=INT%2fCESCR%2fGEC%2f4758&amp;Lang=en" TargetMode="External"/><Relationship Id="rId13" Type="http://schemas.openxmlformats.org/officeDocument/2006/relationships/hyperlink" Target="https://tbinternet.ohchr.org/_layouts/15/treatybodyexternal/Download.aspx?symbolno=CRPD/C/GC/5&amp;Lang=en" TargetMode="External"/><Relationship Id="rId18" Type="http://schemas.openxmlformats.org/officeDocument/2006/relationships/hyperlink" Target="https://www.cqc.org.uk/publications/themed-work/rssreview" TargetMode="External"/><Relationship Id="rId39" Type="http://schemas.openxmlformats.org/officeDocument/2006/relationships/hyperlink" Target="https://digital.nhs.uk/data-and-information/publications/statistical/mental-health-of-children-and-young-people-in-england/2020-wave-1-follow-up" TargetMode="External"/><Relationship Id="rId109" Type="http://schemas.openxmlformats.org/officeDocument/2006/relationships/hyperlink" Target="https://www.gov.uk/government/publications/exploring-moving-to-home-education-in-secondary-schools" TargetMode="External"/><Relationship Id="rId34" Type="http://schemas.openxmlformats.org/officeDocument/2006/relationships/hyperlink" Target="https://digital.nhs.uk/data-and-information/publications/statistical/mental-health-act-statistics-annual-figures/2019-20-annual-figures" TargetMode="External"/><Relationship Id="rId50" Type="http://schemas.openxmlformats.org/officeDocument/2006/relationships/hyperlink" Target="https://www.england.nhs.uk/coronavirus/wp-content/uploads/sites/52/2020/03/C1075-legal-guidance-for-mh-ld-autism-specialised-commissioning-services-v4-25-jan-21.pdf" TargetMode="External"/><Relationship Id="rId55" Type="http://schemas.openxmlformats.org/officeDocument/2006/relationships/hyperlink" Target="https://www.cqc.org.uk/publications/themed-work/rssreview" TargetMode="External"/><Relationship Id="rId76" Type="http://schemas.openxmlformats.org/officeDocument/2006/relationships/hyperlink" Target="https://in-control.org.uk/report-independent-living-survey-2016/" TargetMode="External"/><Relationship Id="rId97" Type="http://schemas.openxmlformats.org/officeDocument/2006/relationships/hyperlink" Target="https://www.healthwatch.co.uk/response/2020-12-21/call-better-guidance-care-home-visits-read-our-letter-government" TargetMode="External"/><Relationship Id="rId104" Type="http://schemas.openxmlformats.org/officeDocument/2006/relationships/hyperlink" Target="https://www.gov.uk/government/statistics/permanent-and-fixed-period-exclusions-in-england-2018-to-2019" TargetMode="External"/><Relationship Id="rId120" Type="http://schemas.openxmlformats.org/officeDocument/2006/relationships/hyperlink" Target="https://assets.publishing.service.gov.uk/government/uploads/system/uploads/attachment_data/file/943488/COVID-19_series_briefing_on_special_educational_needs_and_disabilities_provision__November_2020.pdf" TargetMode="External"/><Relationship Id="rId125" Type="http://schemas.openxmlformats.org/officeDocument/2006/relationships/hyperlink" Target="https://committees.parliament.uk/oralevidence/627/html/" TargetMode="External"/><Relationship Id="rId141" Type="http://schemas.openxmlformats.org/officeDocument/2006/relationships/hyperlink" Target="https://tbinternet.ohchr.org/_layouts/15/treatybodyexternal/Download.aspx?symbolno=CRPD%2fC%2f15%2f4&amp;Lang=en" TargetMode="External"/><Relationship Id="rId146" Type="http://schemas.openxmlformats.org/officeDocument/2006/relationships/hyperlink" Target="https://www.equalityhumanrights.com/en/publication-download/impact-welfare-reform-and-welfare-work-programmes-evidence-review" TargetMode="External"/><Relationship Id="rId167" Type="http://schemas.openxmlformats.org/officeDocument/2006/relationships/hyperlink" Target="https://www.gov.uk/government/statistical-data-sets/taxi01-taxis-private-hire-vehilces-and-their-drivers" TargetMode="External"/><Relationship Id="rId7" Type="http://schemas.openxmlformats.org/officeDocument/2006/relationships/hyperlink" Target="https://www.ohchr.org/Documents/Publications/CRPD_TrainingGuide_PTS19_EN%20Accessible.pdf" TargetMode="External"/><Relationship Id="rId71" Type="http://schemas.openxmlformats.org/officeDocument/2006/relationships/hyperlink" Target="https://www.independentage.org/reviewing-case-right-to-appeal-adult-social-care" TargetMode="External"/><Relationship Id="rId92" Type="http://schemas.openxmlformats.org/officeDocument/2006/relationships/hyperlink" Target="https://wbg.org.uk/wp-content/uploads/2020/04/Covid-and-social-care-briefing-FINAL-1.pdf" TargetMode="External"/><Relationship Id="rId162" Type="http://schemas.openxmlformats.org/officeDocument/2006/relationships/hyperlink" Target="https://www.gov.uk/government/publications/inclusive-transport-strategy" TargetMode="External"/><Relationship Id="rId2" Type="http://schemas.openxmlformats.org/officeDocument/2006/relationships/hyperlink" Target="https://gov.wales/action-disability-right-independent-living-framework-and-action-plan" TargetMode="External"/><Relationship Id="rId29" Type="http://schemas.openxmlformats.org/officeDocument/2006/relationships/hyperlink" Target="https://digital.nhs.uk/data-and-information/publications/statistical/learning-disability-services-statistics/provisional-statistics-at-april-2020-mhsds-february-2020-final" TargetMode="External"/><Relationship Id="rId24" Type="http://schemas.openxmlformats.org/officeDocument/2006/relationships/hyperlink" Target="https://www.longtermplan.nhs.uk/online-version/chapter-3-further-progress-on-care-quality-and-outcomes/a-strong-start-in-life-for-children-and-young-people/learning-disability-and-autism/" TargetMode="External"/><Relationship Id="rId40" Type="http://schemas.openxmlformats.org/officeDocument/2006/relationships/hyperlink" Target="https://www.england.nhs.uk/wp-content/uploads/2017/01/nhsmh-dashboard-q1-2021.xlsm" TargetMode="External"/><Relationship Id="rId45" Type="http://schemas.openxmlformats.org/officeDocument/2006/relationships/hyperlink" Target="https://www.centreformentalhealth.org.uk/publications/covid-19-and-nations-mental-health-october-2020" TargetMode="External"/><Relationship Id="rId66" Type="http://schemas.openxmlformats.org/officeDocument/2006/relationships/hyperlink" Target="https://www.kingsfund.org.uk/sites/default/files/2020-05/Social%20care%20360%202020%20PDF_0.pdf" TargetMode="External"/><Relationship Id="rId87" Type="http://schemas.openxmlformats.org/officeDocument/2006/relationships/hyperlink" Target="https://www.adass.org.uk/media/8305/adass-autumn-survey-report-2020_final-website.pdf" TargetMode="External"/><Relationship Id="rId110" Type="http://schemas.openxmlformats.org/officeDocument/2006/relationships/hyperlink" Target="https://publications.parliament.uk/pa/cm201919/cmselect/cmeduc/20/20.pdf" TargetMode="External"/><Relationship Id="rId115" Type="http://schemas.openxmlformats.org/officeDocument/2006/relationships/hyperlink" Target="https://tbinternet.ohchr.org/_layouts/15/treatybodyexternal/Download.aspx?symbolno=CRPD/C/GC/4&amp;Lang=en" TargetMode="External"/><Relationship Id="rId131" Type="http://schemas.openxmlformats.org/officeDocument/2006/relationships/hyperlink" Target="https://publications.parliament.uk/pa/jt201919/jtselect/jtrights/121/121.pdf" TargetMode="External"/><Relationship Id="rId136" Type="http://schemas.openxmlformats.org/officeDocument/2006/relationships/hyperlink" Target="https://commonslibrary.parliament.uk/research-briefings/cbp-7540/" TargetMode="External"/><Relationship Id="rId157" Type="http://schemas.openxmlformats.org/officeDocument/2006/relationships/hyperlink" Target="https://www.gov.uk/government/publications/access-to-and-use-of-buildings-approved-document-m" TargetMode="External"/><Relationship Id="rId178" Type="http://schemas.openxmlformats.org/officeDocument/2006/relationships/hyperlink" Target="https://tbinternet.ohchr.org/_layouts/treatybodyexternal/Download.aspx?symbolno=CRPD/C/GC/5&amp;Lang=en" TargetMode="External"/><Relationship Id="rId61" Type="http://schemas.openxmlformats.org/officeDocument/2006/relationships/hyperlink" Target="http://www.lawcom.gov.uk/app/uploads/2017/03/lc372_mental_capacity.pdf" TargetMode="External"/><Relationship Id="rId82" Type="http://schemas.openxmlformats.org/officeDocument/2006/relationships/hyperlink" Target="https://www.gov.uk/government/publications/coronavirus-covid-19-changes-to-the-care-act-2014/care-act-easements-guidance-for-local-authorities" TargetMode="External"/><Relationship Id="rId152" Type="http://schemas.openxmlformats.org/officeDocument/2006/relationships/hyperlink" Target="https://committees.parliament.uk/publications/2224/documents/20325/default/" TargetMode="External"/><Relationship Id="rId173" Type="http://schemas.openxmlformats.org/officeDocument/2006/relationships/hyperlink" Target="https://assets.publishing.service.gov.uk/government/uploads/system/uploads/attachment_data/file/930274/200813_con_doc_-_final__1_.pdf" TargetMode="External"/><Relationship Id="rId19" Type="http://schemas.openxmlformats.org/officeDocument/2006/relationships/hyperlink" Target="https://digital.nhs.uk/data-and-information/publications/statistical/mental-health-bulletin/2019-20-annual-report" TargetMode="External"/><Relationship Id="rId14" Type="http://schemas.openxmlformats.org/officeDocument/2006/relationships/hyperlink" Target="https://www.equalityhumanrights.com/sites/default/files/consultation_response_wec_sub-inquiry_coronavirus_disability_and_access_to_services.docx" TargetMode="External"/><Relationship Id="rId30" Type="http://schemas.openxmlformats.org/officeDocument/2006/relationships/hyperlink" Target="https://digital.nhs.uk/data-and-information/publications/statistical/learning-disability-services-statistics/learning-disability-services-monthly-statistics-at-january-2021-mhsds-november-2020-final" TargetMode="External"/><Relationship Id="rId35" Type="http://schemas.openxmlformats.org/officeDocument/2006/relationships/hyperlink" Target="https://www.cqc.org.uk/publications/surveys/community-mental-health-survey-2018" TargetMode="External"/><Relationship Id="rId56" Type="http://schemas.openxmlformats.org/officeDocument/2006/relationships/hyperlink" Target="https://www.equalityhumanrights.com/en/publication-download/human-rights-framework-restraint" TargetMode="External"/><Relationship Id="rId77" Type="http://schemas.openxmlformats.org/officeDocument/2006/relationships/hyperlink" Target="https://tbinternet.ohchr.org/_layouts/15/treatybodyexternal/Download.aspx?symbolno=CRPD%2fC%2f15%2f4&amp;Lang=en" TargetMode="External"/><Relationship Id="rId100" Type="http://schemas.openxmlformats.org/officeDocument/2006/relationships/hyperlink" Target="https://www.nao.org.uk/report/support-for-pupils-with-special-educational-needs-and-disabilities/" TargetMode="External"/><Relationship Id="rId105" Type="http://schemas.openxmlformats.org/officeDocument/2006/relationships/hyperlink" Target="https://gov.wales/sites/default/files/statistics-and-research/2020-10/permanent-fixed-term-exclusions-from-schools-2018-19-735.pdf" TargetMode="External"/><Relationship Id="rId126" Type="http://schemas.openxmlformats.org/officeDocument/2006/relationships/hyperlink" Target="https://committees.parliament.uk/writtenevidence/5834/html/" TargetMode="External"/><Relationship Id="rId147" Type="http://schemas.openxmlformats.org/officeDocument/2006/relationships/hyperlink" Target="http://data.parliament.uk/WrittenEvidence/CommitteeEvidence.svc/EvidenceDocument/Work%20and%20Pensions/Benefit%20Sanctions/written/83449.html" TargetMode="External"/><Relationship Id="rId168" Type="http://schemas.openxmlformats.org/officeDocument/2006/relationships/hyperlink" Target="https://www.legislation.gov.uk/ukpga/2010/15/part/12" TargetMode="External"/><Relationship Id="rId8" Type="http://schemas.openxmlformats.org/officeDocument/2006/relationships/hyperlink" Target="https://tbinternet.ohchr.org/_layouts/15/treatybodyexternal/Download.aspx?symbolno=CRPD%2fC%2f15%2f4&amp;Lang=en" TargetMode="External"/><Relationship Id="rId51" Type="http://schemas.openxmlformats.org/officeDocument/2006/relationships/hyperlink" Target="https://assets.publishing.service.gov.uk/government/uploads/system/uploads/attachment_data/file/778897/Modernising_the_Mental_Health_Act_-_increasing_choice__reducing_compulsion.pdf" TargetMode="External"/><Relationship Id="rId72" Type="http://schemas.openxmlformats.org/officeDocument/2006/relationships/hyperlink" Target="https://www.communitycare.co.uk/2019/10/14/just-one-five-councils-appeals-processes-adult-social-care-decisions-research-finds/" TargetMode="External"/><Relationship Id="rId93" Type="http://schemas.openxmlformats.org/officeDocument/2006/relationships/hyperlink" Target="https://committees.parliament.uk/publications/4068/documents/40461/default/" TargetMode="External"/><Relationship Id="rId98" Type="http://schemas.openxmlformats.org/officeDocument/2006/relationships/hyperlink" Target="https://tbinternet.ohchr.org/_layouts/15/treatybodyexternal/Download.aspx?symbolno=CRPD/C/GC/5&amp;Lang=en" TargetMode="External"/><Relationship Id="rId121" Type="http://schemas.openxmlformats.org/officeDocument/2006/relationships/hyperlink" Target="https://www.bailii.org/cgi-bin/format.cgi?doc=/ew/cases/EWHC/Admin/2020/2216.html&amp;query=(coronavirus)+AND+(%22Amber+shaw%22)" TargetMode="External"/><Relationship Id="rId142" Type="http://schemas.openxmlformats.org/officeDocument/2006/relationships/hyperlink" Target="https://www.jrf.org.uk/report/uk-poverty-2019-20" TargetMode="External"/><Relationship Id="rId163" Type="http://schemas.openxmlformats.org/officeDocument/2006/relationships/hyperlink" Target="https://commonslibrary.parliament.uk/how-accessible-are-britains-railway-stations/" TargetMode="External"/><Relationship Id="rId3" Type="http://schemas.openxmlformats.org/officeDocument/2006/relationships/hyperlink" Target="http://www.eiapractice.wales.nhs.uk/sitesplus/documents/1126/3%20Framework%20for%20Action%20on%20Independent%20Living2.pdf" TargetMode="External"/><Relationship Id="rId25" Type="http://schemas.openxmlformats.org/officeDocument/2006/relationships/hyperlink" Target="https://publications.parliament.uk/pa/jt201919/jtselect/jtrights/121/121.pdf" TargetMode="External"/><Relationship Id="rId46" Type="http://schemas.openxmlformats.org/officeDocument/2006/relationships/hyperlink" Target="https://www.nhsconfed.org/news/2021/02/ons-findings-show-toll-of-pandemic-on-mental-wellbeing" TargetMode="External"/><Relationship Id="rId67" Type="http://schemas.openxmlformats.org/officeDocument/2006/relationships/hyperlink" Target="https://www.ageuk.org.uk/globalassets/age-uk/documents/reports-and-publications/reports-and-briefings/active-communities/id204303-estimating-needs-report.pdf" TargetMode="External"/><Relationship Id="rId116" Type="http://schemas.openxmlformats.org/officeDocument/2006/relationships/hyperlink" Target="https://www.un.org/development/desa/disabilities/convention-on-the-rights-of-persons-with-disabilities/article-8-awareness-raising.html" TargetMode="External"/><Relationship Id="rId137" Type="http://schemas.openxmlformats.org/officeDocument/2006/relationships/hyperlink" Target="https://www.equalityhumanrights.com/sites/default/files/recruitment-of-workers-into-low-paid-occupations-and-industries.pdf" TargetMode="External"/><Relationship Id="rId158" Type="http://schemas.openxmlformats.org/officeDocument/2006/relationships/hyperlink" Target="https://www.ageing-better.org.uk/news/housing-made-everyone-home-new-coalition-formed-tackle-lack-suitable-housing" TargetMode="External"/><Relationship Id="rId20" Type="http://schemas.openxmlformats.org/officeDocument/2006/relationships/hyperlink" Target="https://www.equalityhumanrights.com/en/publication-download/human-rights-framework-restraint" TargetMode="External"/><Relationship Id="rId41" Type="http://schemas.openxmlformats.org/officeDocument/2006/relationships/hyperlink" Target="https://www.rethink.org/media/3793/access-to-mh-services-final-040220.pdf" TargetMode="External"/><Relationship Id="rId62" Type="http://schemas.openxmlformats.org/officeDocument/2006/relationships/hyperlink" Target="https://questions-statements.parliament.uk/written-statements/detail/2020-07-16/HCWS377" TargetMode="External"/><Relationship Id="rId83" Type="http://schemas.openxmlformats.org/officeDocument/2006/relationships/hyperlink" Target="https://www.ridc.org.uk/news/covid-19-our-third-survey-impact-disabled-and-older-people" TargetMode="External"/><Relationship Id="rId88" Type="http://schemas.openxmlformats.org/officeDocument/2006/relationships/hyperlink" Target="https://www.communitycare.co.uk/2020/03/22/coronavirus-bill-allow-ministers-suspend-key-care-act-duties-event-pandemic-emergency/" TargetMode="External"/><Relationship Id="rId111" Type="http://schemas.openxmlformats.org/officeDocument/2006/relationships/hyperlink" Target="https://tbinternet.ohchr.org/_layouts/15/treatybodyexternal/Download.aspx?symbolno=CRPD/C/GC/4&amp;Lang=en" TargetMode="External"/><Relationship Id="rId132" Type="http://schemas.openxmlformats.org/officeDocument/2006/relationships/hyperlink" Target="https://www.equalityhumanrights.com/en/our-work/news/health-secretary-faces-legal-challenge-failing-patients-learning-disabilities-and" TargetMode="External"/><Relationship Id="rId153" Type="http://schemas.openxmlformats.org/officeDocument/2006/relationships/hyperlink" Target="https://www.jrf.org.uk/report/keep-lifeline-why-government-should-keep-20-uplift-universal-credit" TargetMode="External"/><Relationship Id="rId174" Type="http://schemas.openxmlformats.org/officeDocument/2006/relationships/hyperlink" Target="https://www.gov.uk/government/collections/the-williams-rail-review" TargetMode="External"/><Relationship Id="rId179" Type="http://schemas.openxmlformats.org/officeDocument/2006/relationships/hyperlink" Target="https://www.ohchr.org/Documents/Publications/FactSheet33en.pdf" TargetMode="External"/><Relationship Id="rId15" Type="http://schemas.openxmlformats.org/officeDocument/2006/relationships/hyperlink" Target="https://www.equalityhumanrights.com/sites/default/files/parliamentary_briefing_equality_and_human_rights_in_residential_care_coronavirus.docx" TargetMode="External"/><Relationship Id="rId36" Type="http://schemas.openxmlformats.org/officeDocument/2006/relationships/hyperlink" Target="https://www.cqc.org.uk/publications/major-report/monitoring-mental-health-act-report" TargetMode="External"/><Relationship Id="rId57" Type="http://schemas.openxmlformats.org/officeDocument/2006/relationships/hyperlink" Target="https://digital.nhs.uk/data-and-information/publications/statistical/mental-health-bulletin/2019-20-annual-report" TargetMode="External"/><Relationship Id="rId106" Type="http://schemas.openxmlformats.org/officeDocument/2006/relationships/hyperlink" Target="https://explore-education-statistics.service.gov.uk/find-statistics/special-educational-needs-in-england" TargetMode="External"/><Relationship Id="rId127" Type="http://schemas.openxmlformats.org/officeDocument/2006/relationships/hyperlink" Target="https://committees.parliament.uk/work/320/unequal-impact-coronavirus-disability-and-access-to-services/publications/repor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ovell\Desktop\EHRC_Document%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E7509C7EE94066A5F6303DAC6D2726"/>
        <w:category>
          <w:name w:val="General"/>
          <w:gallery w:val="placeholder"/>
        </w:category>
        <w:types>
          <w:type w:val="bbPlcHdr"/>
        </w:types>
        <w:behaviors>
          <w:behavior w:val="content"/>
        </w:behaviors>
        <w:guid w:val="{6114445B-4900-4FF0-BA86-0EA89C8E3F79}"/>
      </w:docPartPr>
      <w:docPartBody>
        <w:p w:rsidR="00193CE5" w:rsidRDefault="008261F3">
          <w:pPr>
            <w:pStyle w:val="A0E7509C7EE94066A5F6303DAC6D2726"/>
          </w:pPr>
          <w:r w:rsidRPr="00605567">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F3"/>
    <w:rsid w:val="000E718E"/>
    <w:rsid w:val="00181BC0"/>
    <w:rsid w:val="00193CE5"/>
    <w:rsid w:val="001B66D8"/>
    <w:rsid w:val="00215162"/>
    <w:rsid w:val="002E6EF7"/>
    <w:rsid w:val="00373689"/>
    <w:rsid w:val="003D54D8"/>
    <w:rsid w:val="00401200"/>
    <w:rsid w:val="00414D63"/>
    <w:rsid w:val="00465488"/>
    <w:rsid w:val="00594CE5"/>
    <w:rsid w:val="005A581D"/>
    <w:rsid w:val="005C489D"/>
    <w:rsid w:val="00630700"/>
    <w:rsid w:val="007B776E"/>
    <w:rsid w:val="007F2F83"/>
    <w:rsid w:val="008261F3"/>
    <w:rsid w:val="008A54F1"/>
    <w:rsid w:val="008B0A64"/>
    <w:rsid w:val="00A41ED7"/>
    <w:rsid w:val="00A54D73"/>
    <w:rsid w:val="00CF7E8A"/>
    <w:rsid w:val="00D448C3"/>
    <w:rsid w:val="00DF4CEF"/>
    <w:rsid w:val="00EF46B6"/>
    <w:rsid w:val="00F363A2"/>
    <w:rsid w:val="00F92E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sz w:val="24"/>
    </w:rPr>
  </w:style>
  <w:style w:type="paragraph" w:customStyle="1" w:styleId="A0E7509C7EE94066A5F6303DAC6D2726">
    <w:name w:val="A0E7509C7EE94066A5F6303DAC6D2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B5CE-0030-44B4-82C7-66A5C83B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4714A-0E4B-4A05-8498-B18F6DA7909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61BAD7E-9946-4E07-B0DD-54ADD140BE7F}">
  <ds:schemaRefs>
    <ds:schemaRef ds:uri="http://schemas.microsoft.com/sharepoint/v3/contenttype/forms"/>
  </ds:schemaRefs>
</ds:datastoreItem>
</file>

<file path=customXml/itemProps4.xml><?xml version="1.0" encoding="utf-8"?>
<ds:datastoreItem xmlns:ds="http://schemas.openxmlformats.org/officeDocument/2006/customXml" ds:itemID="{833D5743-6829-4012-98F2-759313CF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EHRC_Document template (1)</Template>
  <TotalTime>0</TotalTime>
  <Pages>57</Pages>
  <Words>11003</Words>
  <Characters>62722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Strengthening the right to independent living</vt:lpstr>
    </vt:vector>
  </TitlesOfParts>
  <Company/>
  <LinksUpToDate>false</LinksUpToDate>
  <CharactersWithSpaces>73578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right to independent living</dc:title>
  <dc:subject/>
  <dc:creator>Connor Tovell</dc:creator>
  <cp:keywords/>
  <dc:description/>
  <cp:lastModifiedBy>Jordan Vu-Abouzeid</cp:lastModifiedBy>
  <cp:revision>2</cp:revision>
  <dcterms:created xsi:type="dcterms:W3CDTF">2021-05-11T08:40:00Z</dcterms:created>
  <dcterms:modified xsi:type="dcterms:W3CDTF">2021-05-11T08:40:00Z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