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E594C" w14:textId="77777777" w:rsidR="00972D5B" w:rsidRDefault="00525207" w:rsidP="00ED42D8">
      <w:pPr>
        <w:pStyle w:val="Title"/>
        <w:spacing w:before="0"/>
      </w:pPr>
      <w:bookmarkStart w:id="0" w:name="_GoBack"/>
      <w:bookmarkEnd w:id="0"/>
      <w:r>
        <w:rPr>
          <w:lang w:val="cy-GB" w:eastAsia="en-GB"/>
        </w:rPr>
        <w:t xml:space="preserve">Data protection </w:t>
      </w:r>
      <w:r w:rsidR="00A73344">
        <w:rPr>
          <w:lang w:val="cy-GB" w:eastAsia="en-GB"/>
        </w:rPr>
        <w:t>p</w:t>
      </w:r>
      <w:r>
        <w:rPr>
          <w:lang w:val="cy-GB" w:eastAsia="en-GB"/>
        </w:rPr>
        <w:t>olicy</w:t>
      </w:r>
    </w:p>
    <w:p w14:paraId="52148051" w14:textId="2934A7E0" w:rsidR="00711475" w:rsidRPr="00465B9E" w:rsidRDefault="00525207" w:rsidP="00F171F1">
      <w:pPr>
        <w:pStyle w:val="Date"/>
      </w:pPr>
      <w:r>
        <w:t xml:space="preserve">Updated </w:t>
      </w:r>
      <w:r w:rsidR="00840988">
        <w:t xml:space="preserve">December </w:t>
      </w:r>
      <w:r w:rsidR="0043168D">
        <w:t>20</w:t>
      </w:r>
      <w:r w:rsidR="005B3BCB">
        <w:t>21</w:t>
      </w:r>
    </w:p>
    <w:p w14:paraId="778B76BE" w14:textId="77777777" w:rsidR="00961657" w:rsidRDefault="00961657" w:rsidP="00276C39">
      <w:pPr>
        <w:pStyle w:val="Author"/>
      </w:pPr>
    </w:p>
    <w:p w14:paraId="3C5756A0" w14:textId="77777777" w:rsidR="00E2433D" w:rsidRPr="00465B9E" w:rsidRDefault="00526047" w:rsidP="00961657">
      <w:pPr>
        <w:pStyle w:val="Documentstatus"/>
        <w:spacing w:before="720"/>
        <w:rPr>
          <w:szCs w:val="36"/>
          <w:highlight w:val="yellow"/>
        </w:rPr>
      </w:pPr>
      <w:r w:rsidRPr="00465B9E">
        <w:rPr>
          <w:szCs w:val="36"/>
          <w:highlight w:val="yellow"/>
        </w:rPr>
        <w:br w:type="page"/>
      </w:r>
    </w:p>
    <w:sdt>
      <w:sdtPr>
        <w:rPr>
          <w:b/>
          <w:color w:val="auto"/>
          <w:sz w:val="28"/>
          <w:szCs w:val="22"/>
        </w:rPr>
        <w:id w:val="-1361974634"/>
        <w:docPartObj>
          <w:docPartGallery w:val="Table of Contents"/>
          <w:docPartUnique/>
        </w:docPartObj>
      </w:sdtPr>
      <w:sdtEndPr>
        <w:rPr>
          <w:b w:val="0"/>
          <w:color w:val="009C98" w:themeColor="accent1"/>
          <w:sz w:val="52"/>
          <w:szCs w:val="56"/>
        </w:rPr>
      </w:sdtEndPr>
      <w:sdtContent>
        <w:p w14:paraId="7DA31ED9" w14:textId="77777777" w:rsidR="00C50BF9" w:rsidRPr="00095255" w:rsidRDefault="00A73344" w:rsidP="00C50BF9">
          <w:pPr>
            <w:pStyle w:val="TOCHeading"/>
          </w:pPr>
          <w:r>
            <w:rPr>
              <w:szCs w:val="52"/>
            </w:rPr>
            <w:t>Contents</w:t>
          </w:r>
        </w:p>
      </w:sdtContent>
    </w:sdt>
    <w:p w14:paraId="75E36C28" w14:textId="2C7CBBE1" w:rsidR="00A73344" w:rsidRDefault="00C50BF9">
      <w:pPr>
        <w:pStyle w:val="TOC1"/>
        <w:tabs>
          <w:tab w:val="right" w:leader="dot" w:pos="8608"/>
        </w:tabs>
        <w:rPr>
          <w:rFonts w:eastAsiaTheme="minorEastAsia"/>
          <w:b w:val="0"/>
          <w:noProof/>
          <w:sz w:val="22"/>
          <w:lang w:eastAsia="en-GB"/>
        </w:rPr>
      </w:pPr>
      <w:r>
        <w:fldChar w:fldCharType="begin"/>
      </w:r>
      <w:r>
        <w:instrText xml:space="preserve"> TOC \o "1-2" \h \z \u </w:instrText>
      </w:r>
      <w:r>
        <w:fldChar w:fldCharType="separate"/>
      </w:r>
      <w:hyperlink w:anchor="_Toc53504266" w:history="1">
        <w:r w:rsidR="00A73344" w:rsidRPr="003C5E6A">
          <w:rPr>
            <w:rStyle w:val="Hyperlink"/>
            <w:noProof/>
          </w:rPr>
          <w:t>Part 1: Introduction</w:t>
        </w:r>
        <w:r w:rsidR="00A73344">
          <w:rPr>
            <w:noProof/>
            <w:webHidden/>
          </w:rPr>
          <w:tab/>
        </w:r>
        <w:r w:rsidR="00A73344">
          <w:rPr>
            <w:noProof/>
            <w:webHidden/>
          </w:rPr>
          <w:fldChar w:fldCharType="begin"/>
        </w:r>
        <w:r w:rsidR="00A73344">
          <w:rPr>
            <w:noProof/>
            <w:webHidden/>
          </w:rPr>
          <w:instrText xml:space="preserve"> PAGEREF _Toc53504266 \h </w:instrText>
        </w:r>
        <w:r w:rsidR="00A73344">
          <w:rPr>
            <w:noProof/>
            <w:webHidden/>
          </w:rPr>
        </w:r>
        <w:r w:rsidR="00A73344">
          <w:rPr>
            <w:noProof/>
            <w:webHidden/>
          </w:rPr>
          <w:fldChar w:fldCharType="separate"/>
        </w:r>
        <w:r w:rsidR="00E66325">
          <w:rPr>
            <w:noProof/>
            <w:webHidden/>
          </w:rPr>
          <w:t>2</w:t>
        </w:r>
        <w:r w:rsidR="00A73344">
          <w:rPr>
            <w:noProof/>
            <w:webHidden/>
          </w:rPr>
          <w:fldChar w:fldCharType="end"/>
        </w:r>
      </w:hyperlink>
    </w:p>
    <w:p w14:paraId="30B92827" w14:textId="484081B3" w:rsidR="00A73344" w:rsidRDefault="007D530E">
      <w:pPr>
        <w:pStyle w:val="TOC1"/>
        <w:tabs>
          <w:tab w:val="right" w:leader="dot" w:pos="8608"/>
        </w:tabs>
        <w:rPr>
          <w:rFonts w:eastAsiaTheme="minorEastAsia"/>
          <w:b w:val="0"/>
          <w:noProof/>
          <w:sz w:val="22"/>
          <w:lang w:eastAsia="en-GB"/>
        </w:rPr>
      </w:pPr>
      <w:hyperlink w:anchor="_Toc53504268" w:history="1">
        <w:r w:rsidR="00A73344" w:rsidRPr="003C5E6A">
          <w:rPr>
            <w:rStyle w:val="Hyperlink"/>
            <w:noProof/>
          </w:rPr>
          <w:t>Part 2: Data protection principles</w:t>
        </w:r>
        <w:r w:rsidR="00A73344">
          <w:rPr>
            <w:noProof/>
            <w:webHidden/>
          </w:rPr>
          <w:tab/>
        </w:r>
        <w:r w:rsidR="00A73344">
          <w:rPr>
            <w:noProof/>
            <w:webHidden/>
          </w:rPr>
          <w:fldChar w:fldCharType="begin"/>
        </w:r>
        <w:r w:rsidR="00A73344">
          <w:rPr>
            <w:noProof/>
            <w:webHidden/>
          </w:rPr>
          <w:instrText xml:space="preserve"> PAGEREF _Toc53504268 \h </w:instrText>
        </w:r>
        <w:r w:rsidR="00A73344">
          <w:rPr>
            <w:noProof/>
            <w:webHidden/>
          </w:rPr>
        </w:r>
        <w:r w:rsidR="00A73344">
          <w:rPr>
            <w:noProof/>
            <w:webHidden/>
          </w:rPr>
          <w:fldChar w:fldCharType="separate"/>
        </w:r>
        <w:r w:rsidR="00E66325">
          <w:rPr>
            <w:noProof/>
            <w:webHidden/>
          </w:rPr>
          <w:t>4</w:t>
        </w:r>
        <w:r w:rsidR="00A73344">
          <w:rPr>
            <w:noProof/>
            <w:webHidden/>
          </w:rPr>
          <w:fldChar w:fldCharType="end"/>
        </w:r>
      </w:hyperlink>
    </w:p>
    <w:p w14:paraId="4A46301E" w14:textId="6DBC9D7F" w:rsidR="00A73344" w:rsidRDefault="007D530E">
      <w:pPr>
        <w:pStyle w:val="TOC1"/>
        <w:tabs>
          <w:tab w:val="right" w:leader="dot" w:pos="8608"/>
        </w:tabs>
        <w:rPr>
          <w:rFonts w:eastAsiaTheme="minorEastAsia"/>
          <w:b w:val="0"/>
          <w:noProof/>
          <w:sz w:val="22"/>
          <w:lang w:eastAsia="en-GB"/>
        </w:rPr>
      </w:pPr>
      <w:hyperlink w:anchor="_Toc53504276" w:history="1">
        <w:r w:rsidR="00A73344" w:rsidRPr="003C5E6A">
          <w:rPr>
            <w:rStyle w:val="Hyperlink"/>
            <w:noProof/>
          </w:rPr>
          <w:t>Part 3: Accountability</w:t>
        </w:r>
        <w:r w:rsidR="00A73344">
          <w:rPr>
            <w:noProof/>
            <w:webHidden/>
          </w:rPr>
          <w:tab/>
        </w:r>
        <w:r w:rsidR="00A73344">
          <w:rPr>
            <w:noProof/>
            <w:webHidden/>
          </w:rPr>
          <w:fldChar w:fldCharType="begin"/>
        </w:r>
        <w:r w:rsidR="00A73344">
          <w:rPr>
            <w:noProof/>
            <w:webHidden/>
          </w:rPr>
          <w:instrText xml:space="preserve"> PAGEREF _Toc53504276 \h </w:instrText>
        </w:r>
        <w:r w:rsidR="00A73344">
          <w:rPr>
            <w:noProof/>
            <w:webHidden/>
          </w:rPr>
        </w:r>
        <w:r w:rsidR="00A73344">
          <w:rPr>
            <w:noProof/>
            <w:webHidden/>
          </w:rPr>
          <w:fldChar w:fldCharType="separate"/>
        </w:r>
        <w:r w:rsidR="00E66325">
          <w:rPr>
            <w:noProof/>
            <w:webHidden/>
          </w:rPr>
          <w:t>9</w:t>
        </w:r>
        <w:r w:rsidR="00A73344">
          <w:rPr>
            <w:noProof/>
            <w:webHidden/>
          </w:rPr>
          <w:fldChar w:fldCharType="end"/>
        </w:r>
      </w:hyperlink>
    </w:p>
    <w:p w14:paraId="01B0C179" w14:textId="77F2F96F" w:rsidR="00A73344" w:rsidRDefault="007D530E">
      <w:pPr>
        <w:pStyle w:val="TOC1"/>
        <w:tabs>
          <w:tab w:val="right" w:leader="dot" w:pos="8608"/>
        </w:tabs>
        <w:rPr>
          <w:rFonts w:eastAsiaTheme="minorEastAsia"/>
          <w:b w:val="0"/>
          <w:noProof/>
          <w:sz w:val="22"/>
          <w:lang w:eastAsia="en-GB"/>
        </w:rPr>
      </w:pPr>
      <w:hyperlink w:anchor="_Toc53504283" w:history="1">
        <w:r w:rsidR="00A73344" w:rsidRPr="003C5E6A">
          <w:rPr>
            <w:rStyle w:val="Hyperlink"/>
            <w:noProof/>
          </w:rPr>
          <w:t>Part 4: The rights of data subjects</w:t>
        </w:r>
        <w:r w:rsidR="00A73344">
          <w:rPr>
            <w:noProof/>
            <w:webHidden/>
          </w:rPr>
          <w:tab/>
        </w:r>
        <w:r w:rsidR="00A73344">
          <w:rPr>
            <w:noProof/>
            <w:webHidden/>
          </w:rPr>
          <w:fldChar w:fldCharType="begin"/>
        </w:r>
        <w:r w:rsidR="00A73344">
          <w:rPr>
            <w:noProof/>
            <w:webHidden/>
          </w:rPr>
          <w:instrText xml:space="preserve"> PAGEREF _Toc53504283 \h </w:instrText>
        </w:r>
        <w:r w:rsidR="00A73344">
          <w:rPr>
            <w:noProof/>
            <w:webHidden/>
          </w:rPr>
        </w:r>
        <w:r w:rsidR="00A73344">
          <w:rPr>
            <w:noProof/>
            <w:webHidden/>
          </w:rPr>
          <w:fldChar w:fldCharType="separate"/>
        </w:r>
        <w:r w:rsidR="00E66325">
          <w:rPr>
            <w:noProof/>
            <w:webHidden/>
          </w:rPr>
          <w:t>12</w:t>
        </w:r>
        <w:r w:rsidR="00A73344">
          <w:rPr>
            <w:noProof/>
            <w:webHidden/>
          </w:rPr>
          <w:fldChar w:fldCharType="end"/>
        </w:r>
      </w:hyperlink>
    </w:p>
    <w:p w14:paraId="74FAF8E0" w14:textId="5618797D" w:rsidR="00A73344" w:rsidRDefault="007D530E">
      <w:pPr>
        <w:pStyle w:val="TOC1"/>
        <w:tabs>
          <w:tab w:val="right" w:leader="dot" w:pos="8608"/>
        </w:tabs>
        <w:rPr>
          <w:rFonts w:eastAsiaTheme="minorEastAsia"/>
          <w:b w:val="0"/>
          <w:noProof/>
          <w:sz w:val="22"/>
          <w:lang w:eastAsia="en-GB"/>
        </w:rPr>
      </w:pPr>
      <w:hyperlink w:anchor="_Toc53504295" w:history="1">
        <w:r w:rsidR="00A73344" w:rsidRPr="003C5E6A">
          <w:rPr>
            <w:rStyle w:val="Hyperlink"/>
            <w:noProof/>
          </w:rPr>
          <w:t xml:space="preserve">Part 5: Transferring personal data outside the </w:t>
        </w:r>
        <w:r w:rsidR="00E66325">
          <w:rPr>
            <w:rStyle w:val="Hyperlink"/>
            <w:noProof/>
          </w:rPr>
          <w:t>UK</w:t>
        </w:r>
        <w:r w:rsidR="00A73344">
          <w:rPr>
            <w:noProof/>
            <w:webHidden/>
          </w:rPr>
          <w:tab/>
        </w:r>
        <w:r w:rsidR="00A73344">
          <w:rPr>
            <w:noProof/>
            <w:webHidden/>
          </w:rPr>
          <w:fldChar w:fldCharType="begin"/>
        </w:r>
        <w:r w:rsidR="00A73344">
          <w:rPr>
            <w:noProof/>
            <w:webHidden/>
          </w:rPr>
          <w:instrText xml:space="preserve"> PAGEREF _Toc53504295 \h </w:instrText>
        </w:r>
        <w:r w:rsidR="00A73344">
          <w:rPr>
            <w:noProof/>
            <w:webHidden/>
          </w:rPr>
        </w:r>
        <w:r w:rsidR="00A73344">
          <w:rPr>
            <w:noProof/>
            <w:webHidden/>
          </w:rPr>
          <w:fldChar w:fldCharType="separate"/>
        </w:r>
        <w:r w:rsidR="00E66325">
          <w:rPr>
            <w:noProof/>
            <w:webHidden/>
          </w:rPr>
          <w:t>18</w:t>
        </w:r>
        <w:r w:rsidR="00A73344">
          <w:rPr>
            <w:noProof/>
            <w:webHidden/>
          </w:rPr>
          <w:fldChar w:fldCharType="end"/>
        </w:r>
      </w:hyperlink>
    </w:p>
    <w:p w14:paraId="5B2A92E0" w14:textId="03F982E9" w:rsidR="00A73344" w:rsidRDefault="007D530E">
      <w:pPr>
        <w:pStyle w:val="TOC1"/>
        <w:tabs>
          <w:tab w:val="right" w:leader="dot" w:pos="8608"/>
        </w:tabs>
        <w:rPr>
          <w:rFonts w:eastAsiaTheme="minorEastAsia"/>
          <w:b w:val="0"/>
          <w:noProof/>
          <w:sz w:val="22"/>
          <w:lang w:eastAsia="en-GB"/>
        </w:rPr>
      </w:pPr>
      <w:hyperlink w:anchor="_Toc53504296" w:history="1">
        <w:r w:rsidR="00A73344" w:rsidRPr="003C5E6A">
          <w:rPr>
            <w:rStyle w:val="Hyperlink"/>
            <w:noProof/>
          </w:rPr>
          <w:t>Part 6: Disclosure and sharing of personal information</w:t>
        </w:r>
        <w:r w:rsidR="00A73344">
          <w:rPr>
            <w:noProof/>
            <w:webHidden/>
          </w:rPr>
          <w:tab/>
        </w:r>
        <w:r w:rsidR="00A73344">
          <w:rPr>
            <w:noProof/>
            <w:webHidden/>
          </w:rPr>
          <w:fldChar w:fldCharType="begin"/>
        </w:r>
        <w:r w:rsidR="00A73344">
          <w:rPr>
            <w:noProof/>
            <w:webHidden/>
          </w:rPr>
          <w:instrText xml:space="preserve"> PAGEREF _Toc53504296 \h </w:instrText>
        </w:r>
        <w:r w:rsidR="00A73344">
          <w:rPr>
            <w:noProof/>
            <w:webHidden/>
          </w:rPr>
        </w:r>
        <w:r w:rsidR="00A73344">
          <w:rPr>
            <w:noProof/>
            <w:webHidden/>
          </w:rPr>
          <w:fldChar w:fldCharType="separate"/>
        </w:r>
        <w:r w:rsidR="00E66325">
          <w:rPr>
            <w:noProof/>
            <w:webHidden/>
          </w:rPr>
          <w:t>19</w:t>
        </w:r>
        <w:r w:rsidR="00A73344">
          <w:rPr>
            <w:noProof/>
            <w:webHidden/>
          </w:rPr>
          <w:fldChar w:fldCharType="end"/>
        </w:r>
      </w:hyperlink>
    </w:p>
    <w:p w14:paraId="0B5182B4" w14:textId="161FD799" w:rsidR="00A73344" w:rsidRDefault="007D530E">
      <w:pPr>
        <w:pStyle w:val="TOC1"/>
        <w:tabs>
          <w:tab w:val="right" w:leader="dot" w:pos="8608"/>
        </w:tabs>
        <w:rPr>
          <w:rFonts w:eastAsiaTheme="minorEastAsia"/>
          <w:b w:val="0"/>
          <w:noProof/>
          <w:sz w:val="22"/>
          <w:lang w:eastAsia="en-GB"/>
        </w:rPr>
      </w:pPr>
      <w:hyperlink w:anchor="_Toc53504298" w:history="1">
        <w:r w:rsidR="00A73344" w:rsidRPr="003C5E6A">
          <w:rPr>
            <w:rStyle w:val="Hyperlink"/>
            <w:noProof/>
          </w:rPr>
          <w:t>Glossary of terms</w:t>
        </w:r>
        <w:r w:rsidR="00A73344">
          <w:rPr>
            <w:noProof/>
            <w:webHidden/>
          </w:rPr>
          <w:tab/>
        </w:r>
        <w:r w:rsidR="00A73344">
          <w:rPr>
            <w:noProof/>
            <w:webHidden/>
          </w:rPr>
          <w:fldChar w:fldCharType="begin"/>
        </w:r>
        <w:r w:rsidR="00A73344">
          <w:rPr>
            <w:noProof/>
            <w:webHidden/>
          </w:rPr>
          <w:instrText xml:space="preserve"> PAGEREF _Toc53504298 \h </w:instrText>
        </w:r>
        <w:r w:rsidR="00A73344">
          <w:rPr>
            <w:noProof/>
            <w:webHidden/>
          </w:rPr>
        </w:r>
        <w:r w:rsidR="00A73344">
          <w:rPr>
            <w:noProof/>
            <w:webHidden/>
          </w:rPr>
          <w:fldChar w:fldCharType="separate"/>
        </w:r>
        <w:r w:rsidR="00E66325">
          <w:rPr>
            <w:noProof/>
            <w:webHidden/>
          </w:rPr>
          <w:t>21</w:t>
        </w:r>
        <w:r w:rsidR="00A73344">
          <w:rPr>
            <w:noProof/>
            <w:webHidden/>
          </w:rPr>
          <w:fldChar w:fldCharType="end"/>
        </w:r>
      </w:hyperlink>
    </w:p>
    <w:p w14:paraId="510FF95F" w14:textId="5E9ECFD6" w:rsidR="00A73344" w:rsidRDefault="007D530E">
      <w:pPr>
        <w:pStyle w:val="TOC1"/>
        <w:tabs>
          <w:tab w:val="right" w:leader="dot" w:pos="8608"/>
        </w:tabs>
        <w:rPr>
          <w:rFonts w:eastAsiaTheme="minorEastAsia"/>
          <w:b w:val="0"/>
          <w:noProof/>
          <w:sz w:val="22"/>
          <w:lang w:eastAsia="en-GB"/>
        </w:rPr>
      </w:pPr>
      <w:hyperlink w:anchor="_Toc53504300" w:history="1">
        <w:r w:rsidR="00A73344" w:rsidRPr="003C5E6A">
          <w:rPr>
            <w:rStyle w:val="Hyperlink"/>
            <w:noProof/>
          </w:rPr>
          <w:t>Contacts</w:t>
        </w:r>
        <w:r w:rsidR="00A73344">
          <w:rPr>
            <w:noProof/>
            <w:webHidden/>
          </w:rPr>
          <w:tab/>
        </w:r>
        <w:r w:rsidR="00A73344">
          <w:rPr>
            <w:noProof/>
            <w:webHidden/>
          </w:rPr>
          <w:fldChar w:fldCharType="begin"/>
        </w:r>
        <w:r w:rsidR="00A73344">
          <w:rPr>
            <w:noProof/>
            <w:webHidden/>
          </w:rPr>
          <w:instrText xml:space="preserve"> PAGEREF _Toc53504300 \h </w:instrText>
        </w:r>
        <w:r w:rsidR="00A73344">
          <w:rPr>
            <w:noProof/>
            <w:webHidden/>
          </w:rPr>
        </w:r>
        <w:r w:rsidR="00A73344">
          <w:rPr>
            <w:noProof/>
            <w:webHidden/>
          </w:rPr>
          <w:fldChar w:fldCharType="separate"/>
        </w:r>
        <w:r w:rsidR="00E66325">
          <w:rPr>
            <w:noProof/>
            <w:webHidden/>
          </w:rPr>
          <w:t>24</w:t>
        </w:r>
        <w:r w:rsidR="00A73344">
          <w:rPr>
            <w:noProof/>
            <w:webHidden/>
          </w:rPr>
          <w:fldChar w:fldCharType="end"/>
        </w:r>
      </w:hyperlink>
    </w:p>
    <w:p w14:paraId="6CDEA460" w14:textId="77777777" w:rsidR="00B277C1" w:rsidRDefault="00C50BF9" w:rsidP="0043168D">
      <w:pPr>
        <w:pStyle w:val="TOC1"/>
        <w:tabs>
          <w:tab w:val="right" w:leader="dot" w:pos="8608"/>
        </w:tabs>
        <w:rPr>
          <w:rStyle w:val="Howtousethistemplate"/>
        </w:rPr>
      </w:pPr>
      <w:r>
        <w:fldChar w:fldCharType="end"/>
      </w:r>
    </w:p>
    <w:p w14:paraId="3454E22C" w14:textId="77777777" w:rsidR="00525207" w:rsidRPr="00EF5CAA" w:rsidRDefault="00525207" w:rsidP="00525207">
      <w:pPr>
        <w:pStyle w:val="Heading1"/>
        <w:rPr>
          <w:color w:val="B51788"/>
          <w:sz w:val="32"/>
          <w:szCs w:val="32"/>
        </w:rPr>
      </w:pPr>
      <w:bookmarkStart w:id="1" w:name="_Toc511208713"/>
      <w:bookmarkStart w:id="2" w:name="_Toc53504266"/>
      <w:r w:rsidRPr="0034473D">
        <w:lastRenderedPageBreak/>
        <w:t>Part 1: Introduction</w:t>
      </w:r>
      <w:bookmarkEnd w:id="1"/>
      <w:bookmarkEnd w:id="2"/>
    </w:p>
    <w:p w14:paraId="37759005" w14:textId="7099775D" w:rsidR="00525207" w:rsidRPr="008D5931" w:rsidRDefault="000F7FD4" w:rsidP="00525207">
      <w:r>
        <w:t>Data protection legislation - t</w:t>
      </w:r>
      <w:r w:rsidR="00525207" w:rsidRPr="008D5931">
        <w:t xml:space="preserve">he Data Protection Act 2018 </w:t>
      </w:r>
      <w:r w:rsidR="005D0B10">
        <w:t>(DPA</w:t>
      </w:r>
      <w:r>
        <w:t xml:space="preserve"> 18</w:t>
      </w:r>
      <w:r w:rsidR="005D0B10">
        <w:t xml:space="preserve">) </w:t>
      </w:r>
      <w:r w:rsidR="00525207" w:rsidRPr="008D5931">
        <w:t xml:space="preserve">and the </w:t>
      </w:r>
      <w:r w:rsidR="00E66325">
        <w:t>UK</w:t>
      </w:r>
      <w:r w:rsidR="00E66325" w:rsidRPr="008D5931">
        <w:t xml:space="preserve"> </w:t>
      </w:r>
      <w:r w:rsidR="00525207" w:rsidRPr="008D5931">
        <w:t>General Data Protection Regulation (</w:t>
      </w:r>
      <w:r w:rsidR="00E66325">
        <w:t xml:space="preserve">UK </w:t>
      </w:r>
      <w:r w:rsidR="00525207" w:rsidRPr="008D5931">
        <w:t xml:space="preserve">GDPR) </w:t>
      </w:r>
      <w:r>
        <w:t xml:space="preserve">- </w:t>
      </w:r>
      <w:r w:rsidR="00525207" w:rsidRPr="008D5931">
        <w:t>regulates the processing of information relating to individuals</w:t>
      </w:r>
      <w:r w:rsidR="00D31364">
        <w:t xml:space="preserve">, including </w:t>
      </w:r>
      <w:r w:rsidR="00525207" w:rsidRPr="008D5931">
        <w:t xml:space="preserve">personal data, special categories of data and data relating to criminal convictions or </w:t>
      </w:r>
      <w:r w:rsidR="007D3F5B">
        <w:t>offence</w:t>
      </w:r>
      <w:r w:rsidR="00525207" w:rsidRPr="008D5931">
        <w:t>s.</w:t>
      </w:r>
    </w:p>
    <w:p w14:paraId="3422E815" w14:textId="3BC71C9B" w:rsidR="00525207" w:rsidRPr="008D5931" w:rsidRDefault="00525207" w:rsidP="00525207">
      <w:r w:rsidRPr="008D5931">
        <w:t xml:space="preserve">Personal data is any information related to a natural person (normally called data subjects) that can be used to directly or indirectly identify the person. This can include reference to identifiers such as an </w:t>
      </w:r>
      <w:r w:rsidR="00820A8B">
        <w:t>identification</w:t>
      </w:r>
      <w:r w:rsidRPr="008D5931">
        <w:t xml:space="preserve"> number, location data or an online identifier such as an IP address.</w:t>
      </w:r>
    </w:p>
    <w:p w14:paraId="3A2E466B" w14:textId="77777777" w:rsidR="00525207" w:rsidRPr="008D5931" w:rsidRDefault="00525207" w:rsidP="00525207">
      <w:r w:rsidRPr="008D5931">
        <w:t xml:space="preserve">Special categories of data include information about a person's racial or ethnic origin, political opinions, religious or philosophical beliefs, trade union membership, physical or mental health, sex life or sexual orientation, or genetic or biometric data used to uniquely identify an individual. </w:t>
      </w:r>
    </w:p>
    <w:p w14:paraId="1C505A14" w14:textId="7CBBA809" w:rsidR="00525207" w:rsidRPr="00791FB8" w:rsidRDefault="00525207" w:rsidP="00525207">
      <w:r w:rsidRPr="00791FB8">
        <w:rPr>
          <w:lang w:eastAsia="en-GB"/>
        </w:rPr>
        <w:t xml:space="preserve">Data relating to alleged or actual criminal convictions or </w:t>
      </w:r>
      <w:r w:rsidR="007D3F5B">
        <w:rPr>
          <w:lang w:eastAsia="en-GB"/>
        </w:rPr>
        <w:t>offence</w:t>
      </w:r>
      <w:r w:rsidRPr="00791FB8">
        <w:rPr>
          <w:lang w:eastAsia="en-GB"/>
        </w:rPr>
        <w:t>s is another category of data which must be handled with care.</w:t>
      </w:r>
    </w:p>
    <w:p w14:paraId="519C779F" w14:textId="2C5E1089" w:rsidR="00525207" w:rsidRPr="00791FB8" w:rsidRDefault="00525207" w:rsidP="00525207">
      <w:r w:rsidRPr="00791FB8">
        <w:t xml:space="preserve">During the course of </w:t>
      </w:r>
      <w:r w:rsidR="00820A8B">
        <w:t xml:space="preserve">our </w:t>
      </w:r>
      <w:r w:rsidRPr="00791FB8">
        <w:t xml:space="preserve">activities </w:t>
      </w:r>
      <w:r w:rsidR="00D31364">
        <w:t>we</w:t>
      </w:r>
      <w:r w:rsidRPr="00791FB8">
        <w:t xml:space="preserve">  will obtain, hold, use and disclose personal data about </w:t>
      </w:r>
      <w:r w:rsidR="00820A8B">
        <w:t>our</w:t>
      </w:r>
      <w:r w:rsidRPr="00791FB8">
        <w:t xml:space="preserve"> stakeholders, clients, suppliers, staff, Commissioners, committee members and other third parties.  </w:t>
      </w:r>
      <w:r w:rsidR="00820A8B">
        <w:t>We</w:t>
      </w:r>
      <w:r w:rsidRPr="00791FB8">
        <w:t xml:space="preserve"> recognise that the correct and lawful </w:t>
      </w:r>
      <w:r>
        <w:t>processing</w:t>
      </w:r>
      <w:r w:rsidRPr="0034473D">
        <w:t xml:space="preserve"> of this data is important. This policy sets out how </w:t>
      </w:r>
      <w:r w:rsidR="00895CE3">
        <w:t>we</w:t>
      </w:r>
      <w:r w:rsidRPr="0034473D">
        <w:t xml:space="preserve"> will process </w:t>
      </w:r>
      <w:r>
        <w:t xml:space="preserve">all types of </w:t>
      </w:r>
      <w:r w:rsidRPr="0034473D">
        <w:t>pers</w:t>
      </w:r>
      <w:r>
        <w:t xml:space="preserve">onal </w:t>
      </w:r>
      <w:r w:rsidRPr="00791FB8">
        <w:t xml:space="preserve">information to enable </w:t>
      </w:r>
      <w:r w:rsidR="00895CE3">
        <w:t xml:space="preserve">us </w:t>
      </w:r>
      <w:r w:rsidRPr="00791FB8">
        <w:t xml:space="preserve">to perform </w:t>
      </w:r>
      <w:r w:rsidR="00895CE3">
        <w:t>our</w:t>
      </w:r>
      <w:r w:rsidRPr="00791FB8">
        <w:t xml:space="preserve"> functions in line with legal requirements.</w:t>
      </w:r>
    </w:p>
    <w:p w14:paraId="7AA5FE1A" w14:textId="142F28F0" w:rsidR="00525207" w:rsidRPr="00791FB8" w:rsidRDefault="00525207" w:rsidP="00525207">
      <w:r w:rsidRPr="00791FB8">
        <w:t xml:space="preserve">This data protection policy is based on the requirements of </w:t>
      </w:r>
      <w:r w:rsidR="000F7FD4">
        <w:t>data protection legislation.</w:t>
      </w:r>
    </w:p>
    <w:p w14:paraId="4D122880" w14:textId="77777777" w:rsidR="00525207" w:rsidRPr="00525207" w:rsidRDefault="00525207" w:rsidP="00525207">
      <w:pPr>
        <w:pStyle w:val="Heading2"/>
      </w:pPr>
      <w:bookmarkStart w:id="3" w:name="_Toc499545045"/>
      <w:bookmarkStart w:id="4" w:name="_Toc53504267"/>
      <w:r w:rsidRPr="00525207">
        <w:t>Responsibilities</w:t>
      </w:r>
      <w:bookmarkEnd w:id="3"/>
      <w:bookmarkEnd w:id="4"/>
    </w:p>
    <w:p w14:paraId="4CA8967C" w14:textId="1F8F9FA3" w:rsidR="00525207" w:rsidRPr="00BA5CAC" w:rsidRDefault="00525207" w:rsidP="00525207">
      <w:r w:rsidRPr="00791FB8">
        <w:t xml:space="preserve">Audit and Risk Assurance Committee (ARAC) will provide oversight of data protection risk assessment and </w:t>
      </w:r>
      <w:r w:rsidRPr="00BA5CAC">
        <w:t>assurance on behalf of the Board.</w:t>
      </w:r>
    </w:p>
    <w:p w14:paraId="7AA1E0AB" w14:textId="58C7BDE8" w:rsidR="00525207" w:rsidRPr="00791FB8" w:rsidRDefault="00820A8B" w:rsidP="00525207">
      <w:r>
        <w:t>Leadership Team</w:t>
      </w:r>
      <w:r w:rsidR="00525207" w:rsidRPr="004D1176">
        <w:t xml:space="preserve"> is the </w:t>
      </w:r>
      <w:r w:rsidR="00525207" w:rsidRPr="00791FB8">
        <w:t>senior management team that will approve data protection documentation</w:t>
      </w:r>
      <w:r w:rsidR="00895CE3">
        <w:t xml:space="preserve"> </w:t>
      </w:r>
      <w:r w:rsidR="00525207" w:rsidRPr="00791FB8">
        <w:t>/</w:t>
      </w:r>
      <w:r w:rsidR="00895CE3">
        <w:t xml:space="preserve"> </w:t>
      </w:r>
      <w:r w:rsidR="00525207" w:rsidRPr="00791FB8">
        <w:t>processes and is accountable to the Board for data protection compliance and assurance.</w:t>
      </w:r>
    </w:p>
    <w:p w14:paraId="2F350738" w14:textId="5F2D2672" w:rsidR="00525207" w:rsidRPr="00791FB8" w:rsidRDefault="00525207" w:rsidP="00525207">
      <w:r w:rsidRPr="00791FB8">
        <w:lastRenderedPageBreak/>
        <w:t xml:space="preserve">The Senior Information Risk Owner (SIRO) is the executive director accountable to the </w:t>
      </w:r>
      <w:r w:rsidR="00820A8B">
        <w:t>Leadership Team</w:t>
      </w:r>
      <w:r w:rsidRPr="00791FB8">
        <w:t xml:space="preserve"> and the Board for information risk.</w:t>
      </w:r>
    </w:p>
    <w:p w14:paraId="2062B601" w14:textId="084A6526" w:rsidR="00525207" w:rsidRPr="00791FB8" w:rsidRDefault="00525207" w:rsidP="00525207">
      <w:r w:rsidRPr="00791FB8">
        <w:t>Information Governance Steering Group (IGSG) supports the SIRO to develop and improve the management of information governance and data protection matters.</w:t>
      </w:r>
    </w:p>
    <w:p w14:paraId="05ED02DB" w14:textId="44E9BE36" w:rsidR="00525207" w:rsidRPr="00791FB8" w:rsidRDefault="00525207" w:rsidP="00525207">
      <w:r w:rsidRPr="00791FB8">
        <w:t xml:space="preserve">The </w:t>
      </w:r>
      <w:r w:rsidR="00A85160">
        <w:t>D</w:t>
      </w:r>
      <w:r w:rsidRPr="00791FB8">
        <w:t xml:space="preserve">ata </w:t>
      </w:r>
      <w:r w:rsidR="00A85160">
        <w:t>P</w:t>
      </w:r>
      <w:r w:rsidRPr="00791FB8">
        <w:t xml:space="preserve">rotection </w:t>
      </w:r>
      <w:r w:rsidR="00A85160">
        <w:t>O</w:t>
      </w:r>
      <w:r w:rsidRPr="00791FB8">
        <w:t xml:space="preserve">fficer (DPO) is responsible for advising </w:t>
      </w:r>
      <w:r w:rsidR="00820A8B">
        <w:t>us</w:t>
      </w:r>
      <w:r w:rsidRPr="00791FB8">
        <w:t xml:space="preserve"> on data protection. More details about the DPO role can be found in the Accountability section of this policy. The DPO report</w:t>
      </w:r>
      <w:r w:rsidR="00A85160">
        <w:t>s</w:t>
      </w:r>
      <w:r w:rsidRPr="00791FB8">
        <w:t xml:space="preserve"> to </w:t>
      </w:r>
      <w:r w:rsidR="00A85160">
        <w:t>Leadership Team</w:t>
      </w:r>
      <w:r w:rsidRPr="00791FB8">
        <w:t>, ARAC and the Board.</w:t>
      </w:r>
    </w:p>
    <w:p w14:paraId="709351C4" w14:textId="034DA781" w:rsidR="00525207" w:rsidRDefault="00525207" w:rsidP="00525207">
      <w:r w:rsidRPr="00791FB8">
        <w:t xml:space="preserve">The Data Owners are responsible for protecting information in their </w:t>
      </w:r>
      <w:r w:rsidR="00A85160">
        <w:t xml:space="preserve">business </w:t>
      </w:r>
      <w:r w:rsidRPr="00791FB8">
        <w:t xml:space="preserve">areas and will ensure that personal data is collected, used, stored, shared and disposed of in line with </w:t>
      </w:r>
      <w:r w:rsidR="00A85160">
        <w:t>our</w:t>
      </w:r>
      <w:r w:rsidRPr="00791FB8">
        <w:t xml:space="preserve"> policies and procedures, </w:t>
      </w:r>
      <w:r w:rsidR="000F7FD4">
        <w:t>and data protection legislation</w:t>
      </w:r>
      <w:r w:rsidRPr="00791FB8">
        <w:t>.</w:t>
      </w:r>
      <w:r>
        <w:t xml:space="preserve"> </w:t>
      </w:r>
      <w:r w:rsidRPr="00791FB8">
        <w:t xml:space="preserve">The </w:t>
      </w:r>
      <w:r>
        <w:t>Information Governance team</w:t>
      </w:r>
      <w:r w:rsidR="00E66325">
        <w:t xml:space="preserve"> </w:t>
      </w:r>
      <w:r w:rsidRPr="00791FB8">
        <w:t xml:space="preserve">will deal with requests </w:t>
      </w:r>
      <w:r w:rsidR="00A85160" w:rsidRPr="00791FB8">
        <w:t xml:space="preserve">from data subjects </w:t>
      </w:r>
      <w:r w:rsidRPr="00791FB8">
        <w:t xml:space="preserve">under </w:t>
      </w:r>
      <w:r w:rsidR="000F7FD4">
        <w:t>data protection legislation</w:t>
      </w:r>
      <w:r w:rsidR="00D31364">
        <w:t xml:space="preserve"> </w:t>
      </w:r>
      <w:r w:rsidRPr="00791FB8">
        <w:t>in relation to their personal data.</w:t>
      </w:r>
    </w:p>
    <w:p w14:paraId="5EB4AD9C" w14:textId="241B5660" w:rsidR="00525207" w:rsidRPr="00791FB8" w:rsidRDefault="00525207" w:rsidP="00525207">
      <w:r w:rsidRPr="00791FB8">
        <w:t>All staff are responsible for ensuring that:</w:t>
      </w:r>
    </w:p>
    <w:p w14:paraId="5475189B" w14:textId="02DA99BB" w:rsidR="00525207" w:rsidRPr="00791FB8" w:rsidRDefault="00525207" w:rsidP="00525207">
      <w:pPr>
        <w:pStyle w:val="ListBullet"/>
      </w:pPr>
      <w:r>
        <w:t>t</w:t>
      </w:r>
      <w:r w:rsidRPr="00791FB8">
        <w:t>hey comply with this policy and all related policies and procedures for handling personal data</w:t>
      </w:r>
      <w:r w:rsidR="00BC12D1">
        <w:t>;</w:t>
      </w:r>
    </w:p>
    <w:p w14:paraId="2B3DD178" w14:textId="44962D9D" w:rsidR="00525207" w:rsidRPr="0034473D" w:rsidRDefault="00525207" w:rsidP="00525207">
      <w:pPr>
        <w:pStyle w:val="ListBullet"/>
      </w:pPr>
      <w:r>
        <w:t>a</w:t>
      </w:r>
      <w:r w:rsidRPr="00791FB8">
        <w:t xml:space="preserve">ny personal data held in either electronic or paper format is processed securely and in line with the requirements </w:t>
      </w:r>
      <w:r w:rsidRPr="0034473D">
        <w:t xml:space="preserve">of </w:t>
      </w:r>
      <w:r w:rsidR="000F7FD4">
        <w:t>data protection legislation</w:t>
      </w:r>
      <w:r w:rsidR="00BC12D1">
        <w:t>;</w:t>
      </w:r>
    </w:p>
    <w:p w14:paraId="7D99B64A" w14:textId="3C5C79A2" w:rsidR="00525207" w:rsidRDefault="00525207" w:rsidP="00525207">
      <w:pPr>
        <w:pStyle w:val="ListBullet"/>
      </w:pPr>
      <w:r>
        <w:t>p</w:t>
      </w:r>
      <w:r w:rsidRPr="0034473D">
        <w:t>ersonal information is not disclosed deliberately or accidentally</w:t>
      </w:r>
      <w:r>
        <w:t>,</w:t>
      </w:r>
      <w:r w:rsidRPr="0034473D">
        <w:t xml:space="preserve"> either orally or in writing</w:t>
      </w:r>
      <w:r>
        <w:t>,</w:t>
      </w:r>
      <w:r w:rsidRPr="0034473D">
        <w:t xml:space="preserve"> to any unauthorised third party</w:t>
      </w:r>
      <w:r w:rsidR="00BC12D1">
        <w:t>;</w:t>
      </w:r>
    </w:p>
    <w:p w14:paraId="0CF342F3" w14:textId="491BE52C" w:rsidR="00525207" w:rsidRPr="0034473D" w:rsidRDefault="00525207" w:rsidP="00525207">
      <w:pPr>
        <w:pStyle w:val="ListBullet"/>
      </w:pPr>
      <w:r>
        <w:t>any incidents or breaches are reported immediately in line with internal reporting requirements</w:t>
      </w:r>
      <w:r w:rsidR="00BC12D1">
        <w:t>;</w:t>
      </w:r>
    </w:p>
    <w:p w14:paraId="6B5C26BD" w14:textId="4B136993" w:rsidR="00525207" w:rsidRPr="0034473D" w:rsidRDefault="00525207" w:rsidP="00525207">
      <w:pPr>
        <w:pStyle w:val="ListBullet"/>
      </w:pPr>
      <w:r>
        <w:t>t</w:t>
      </w:r>
      <w:r w:rsidRPr="0034473D">
        <w:t xml:space="preserve">hey promptly forward any form of personal data related requests from data subjects to the </w:t>
      </w:r>
      <w:r>
        <w:t>Information Governance team</w:t>
      </w:r>
      <w:r w:rsidRPr="0034473D">
        <w:t xml:space="preserve"> and</w:t>
      </w:r>
      <w:r>
        <w:t>,</w:t>
      </w:r>
      <w:r w:rsidRPr="0034473D">
        <w:t xml:space="preserve"> when asked to do so, they provide responses promptly to requests and reviews</w:t>
      </w:r>
      <w:r w:rsidR="00BC12D1">
        <w:t>;</w:t>
      </w:r>
    </w:p>
    <w:p w14:paraId="4946FEEB" w14:textId="54D3E827" w:rsidR="00525207" w:rsidRPr="0034473D" w:rsidRDefault="00525207" w:rsidP="00525207">
      <w:pPr>
        <w:pStyle w:val="ListBullet"/>
      </w:pPr>
      <w:r>
        <w:t>p</w:t>
      </w:r>
      <w:r w:rsidRPr="0034473D">
        <w:t xml:space="preserve">ersonal data is </w:t>
      </w:r>
      <w:r>
        <w:t xml:space="preserve">managed and </w:t>
      </w:r>
      <w:r w:rsidRPr="0034473D">
        <w:t xml:space="preserve">retained in line with </w:t>
      </w:r>
      <w:r>
        <w:t xml:space="preserve">the </w:t>
      </w:r>
      <w:r w:rsidRPr="0034473D">
        <w:t xml:space="preserve">corporate </w:t>
      </w:r>
      <w:r>
        <w:t>R</w:t>
      </w:r>
      <w:r w:rsidRPr="0034473D">
        <w:t xml:space="preserve">ecords </w:t>
      </w:r>
      <w:r>
        <w:t>Management and R</w:t>
      </w:r>
      <w:r w:rsidRPr="0034473D">
        <w:t xml:space="preserve">etention </w:t>
      </w:r>
      <w:r>
        <w:t>P</w:t>
      </w:r>
      <w:r w:rsidRPr="0034473D">
        <w:t>olicy</w:t>
      </w:r>
      <w:r>
        <w:t xml:space="preserve"> and Procedure, and associated retention schedule</w:t>
      </w:r>
      <w:r w:rsidR="00BC12D1">
        <w:t>;</w:t>
      </w:r>
    </w:p>
    <w:p w14:paraId="43AE6AB1" w14:textId="49A524D8" w:rsidR="00525207" w:rsidRPr="0034473D" w:rsidRDefault="00525207" w:rsidP="00525207">
      <w:pPr>
        <w:pStyle w:val="ListBullet"/>
      </w:pPr>
      <w:r>
        <w:t>t</w:t>
      </w:r>
      <w:r w:rsidRPr="0034473D">
        <w:t xml:space="preserve">hey </w:t>
      </w:r>
      <w:r>
        <w:t xml:space="preserve">only </w:t>
      </w:r>
      <w:r w:rsidRPr="0034473D">
        <w:t xml:space="preserve">process personal data </w:t>
      </w:r>
      <w:r>
        <w:t xml:space="preserve">for the </w:t>
      </w:r>
      <w:r w:rsidRPr="0034473D">
        <w:t>intended purposes</w:t>
      </w:r>
      <w:r w:rsidR="00BC12D1">
        <w:t>;</w:t>
      </w:r>
    </w:p>
    <w:p w14:paraId="153FE2AB" w14:textId="593F273D" w:rsidR="00525207" w:rsidRPr="0034473D" w:rsidRDefault="00525207" w:rsidP="00525207">
      <w:pPr>
        <w:pStyle w:val="ListBullet"/>
      </w:pPr>
      <w:r>
        <w:t>t</w:t>
      </w:r>
      <w:r w:rsidRPr="0034473D">
        <w:t xml:space="preserve">he information provided in connection with their employment </w:t>
      </w:r>
      <w:r>
        <w:t xml:space="preserve">or engagement </w:t>
      </w:r>
      <w:r w:rsidRPr="0034473D">
        <w:t>is accurate and as up-to-date as possible</w:t>
      </w:r>
      <w:r w:rsidR="00BC12D1">
        <w:t>;</w:t>
      </w:r>
      <w:r>
        <w:t xml:space="preserve"> and</w:t>
      </w:r>
    </w:p>
    <w:p w14:paraId="4EE76FD8" w14:textId="77777777" w:rsidR="00525207" w:rsidRDefault="00525207" w:rsidP="00525207">
      <w:pPr>
        <w:pStyle w:val="ListBullet"/>
      </w:pPr>
      <w:proofErr w:type="gramStart"/>
      <w:r>
        <w:t>p</w:t>
      </w:r>
      <w:r w:rsidRPr="00683099">
        <w:t>ersonal</w:t>
      </w:r>
      <w:proofErr w:type="gramEnd"/>
      <w:r w:rsidRPr="00683099">
        <w:t xml:space="preserve"> data they collect and use to perform their functions is as up-to-date as possible.</w:t>
      </w:r>
    </w:p>
    <w:p w14:paraId="1FBA9460" w14:textId="77777777" w:rsidR="00525207" w:rsidRDefault="00525207" w:rsidP="00525207">
      <w:pPr>
        <w:rPr>
          <w:rFonts w:ascii="Arial" w:hAnsi="Arial" w:cs="Arial"/>
          <w:color w:val="000000"/>
          <w:szCs w:val="24"/>
        </w:rPr>
      </w:pPr>
      <w:r>
        <w:br w:type="page"/>
      </w:r>
    </w:p>
    <w:p w14:paraId="53DAF7B9" w14:textId="77777777" w:rsidR="00525207" w:rsidRPr="00BA5CAC" w:rsidRDefault="00525207" w:rsidP="00525207">
      <w:pPr>
        <w:pStyle w:val="Heading1"/>
      </w:pPr>
      <w:bookmarkStart w:id="5" w:name="_Toc499545046"/>
      <w:bookmarkStart w:id="6" w:name="_Toc53504268"/>
      <w:r w:rsidRPr="0034473D">
        <w:lastRenderedPageBreak/>
        <w:t>Part 2: Data protection principles</w:t>
      </w:r>
      <w:bookmarkEnd w:id="5"/>
      <w:bookmarkEnd w:id="6"/>
      <w:r w:rsidRPr="0034473D">
        <w:t xml:space="preserve"> </w:t>
      </w:r>
    </w:p>
    <w:p w14:paraId="125E4DAD" w14:textId="77777777" w:rsidR="00525207" w:rsidRPr="00525207" w:rsidRDefault="00525207" w:rsidP="00525207">
      <w:pPr>
        <w:pStyle w:val="Heading2"/>
      </w:pPr>
      <w:bookmarkStart w:id="7" w:name="_Toc499545047"/>
      <w:bookmarkStart w:id="8" w:name="_Toc53504269"/>
      <w:r w:rsidRPr="00525207">
        <w:t>Summary of data protection principles</w:t>
      </w:r>
      <w:bookmarkEnd w:id="7"/>
      <w:bookmarkEnd w:id="8"/>
    </w:p>
    <w:p w14:paraId="46D694AE" w14:textId="0C6A8AE1" w:rsidR="00525207" w:rsidRPr="00367403" w:rsidRDefault="000F7FD4" w:rsidP="00525207">
      <w:r>
        <w:t>Data protection legislation</w:t>
      </w:r>
      <w:r w:rsidRPr="0034473D" w:rsidDel="000F7FD4">
        <w:t xml:space="preserve"> </w:t>
      </w:r>
      <w:r w:rsidR="00525207" w:rsidRPr="0034473D">
        <w:t>covers both computerised and manual records contain</w:t>
      </w:r>
      <w:r w:rsidR="00BC12D1">
        <w:t>ing</w:t>
      </w:r>
      <w:r w:rsidR="00525207" w:rsidRPr="0034473D">
        <w:t xml:space="preserve"> personal data, and sets out a number of rights and principles </w:t>
      </w:r>
      <w:r w:rsidR="00BC12D1">
        <w:t>that</w:t>
      </w:r>
      <w:r w:rsidR="00BC12D1" w:rsidRPr="0034473D">
        <w:t xml:space="preserve"> </w:t>
      </w:r>
      <w:r w:rsidR="00525207" w:rsidRPr="0034473D">
        <w:t>those who use personal information</w:t>
      </w:r>
      <w:r w:rsidR="00D31364">
        <w:t xml:space="preserve"> </w:t>
      </w:r>
      <w:r w:rsidR="00525207" w:rsidRPr="0034473D">
        <w:t xml:space="preserve">must follow. </w:t>
      </w:r>
      <w:r w:rsidR="00BC12D1">
        <w:t>We</w:t>
      </w:r>
      <w:r w:rsidR="00525207" w:rsidRPr="0034473D">
        <w:t xml:space="preserve"> must comply with the data protection principles of good practice which underpin the </w:t>
      </w:r>
      <w:r w:rsidR="00E66325">
        <w:t xml:space="preserve">UK </w:t>
      </w:r>
      <w:r w:rsidR="00525207">
        <w:t>GDPR</w:t>
      </w:r>
      <w:r w:rsidR="00525207" w:rsidRPr="0034473D">
        <w:t xml:space="preserve">. These state that </w:t>
      </w:r>
      <w:r w:rsidR="00525207">
        <w:t>personal data will</w:t>
      </w:r>
      <w:r w:rsidR="00525207" w:rsidRPr="00367403">
        <w:t xml:space="preserve"> be:</w:t>
      </w:r>
    </w:p>
    <w:p w14:paraId="31129ED8" w14:textId="65FBA3DE" w:rsidR="00525207" w:rsidRPr="00805EB9" w:rsidRDefault="00525207" w:rsidP="00A73344">
      <w:pPr>
        <w:pStyle w:val="ListNumber"/>
      </w:pPr>
      <w:bookmarkStart w:id="9" w:name="_Toc499545048"/>
      <w:r w:rsidRPr="00805EB9">
        <w:t>processed lawfully, fairly and in a transpa</w:t>
      </w:r>
      <w:r>
        <w:t xml:space="preserve">rent manner in relation to </w:t>
      </w:r>
      <w:r w:rsidRPr="00805EB9">
        <w:t>individuals</w:t>
      </w:r>
      <w:r w:rsidR="00BC12D1">
        <w:t>;</w:t>
      </w:r>
    </w:p>
    <w:p w14:paraId="326490D2" w14:textId="0744F374" w:rsidR="00525207" w:rsidRPr="00805EB9" w:rsidRDefault="00525207" w:rsidP="00A73344">
      <w:pPr>
        <w:pStyle w:val="ListNumber"/>
      </w:pPr>
      <w:r>
        <w:t>c</w:t>
      </w:r>
      <w:r w:rsidRPr="00805EB9">
        <w:t>ollected for specified, explicit and legitima</w:t>
      </w:r>
      <w:r>
        <w:t xml:space="preserve">te purposes and not further </w:t>
      </w:r>
      <w:r w:rsidRPr="00805EB9">
        <w:t>processed in a manner that is incompatib</w:t>
      </w:r>
      <w:r>
        <w:t>le with those purposes; further</w:t>
      </w:r>
      <w:r w:rsidRPr="00805EB9">
        <w:t xml:space="preserve"> processing for archiving purposes in the publ</w:t>
      </w:r>
      <w:r>
        <w:t xml:space="preserve">ic interest, scientific or </w:t>
      </w:r>
      <w:r w:rsidRPr="00805EB9">
        <w:t>historical research purposes or statistical purpos</w:t>
      </w:r>
      <w:r>
        <w:t xml:space="preserve">es shall not be considered </w:t>
      </w:r>
      <w:r w:rsidRPr="00805EB9">
        <w:t>to be incompatible with the initial purposes</w:t>
      </w:r>
      <w:r w:rsidR="00BC12D1">
        <w:t>;</w:t>
      </w:r>
    </w:p>
    <w:p w14:paraId="5714A5A6" w14:textId="0DC29326" w:rsidR="00525207" w:rsidRPr="00805EB9" w:rsidRDefault="00525207" w:rsidP="00A73344">
      <w:pPr>
        <w:pStyle w:val="ListNumber"/>
      </w:pPr>
      <w:r>
        <w:t>a</w:t>
      </w:r>
      <w:r w:rsidRPr="00805EB9">
        <w:t>dequate, relevant and limited to what is ne</w:t>
      </w:r>
      <w:r>
        <w:t xml:space="preserve">cessary in relation to the </w:t>
      </w:r>
      <w:r w:rsidRPr="00805EB9">
        <w:t>purposes for which they are processed</w:t>
      </w:r>
      <w:r w:rsidR="00BC12D1">
        <w:t>;</w:t>
      </w:r>
    </w:p>
    <w:p w14:paraId="4E23B795" w14:textId="74E3B3A7" w:rsidR="00525207" w:rsidRPr="00805EB9" w:rsidRDefault="00525207" w:rsidP="00A73344">
      <w:pPr>
        <w:pStyle w:val="ListNumber"/>
      </w:pPr>
      <w:r>
        <w:t>a</w:t>
      </w:r>
      <w:r w:rsidRPr="00805EB9">
        <w:t>ccurate and, where necessary, kept up</w:t>
      </w:r>
      <w:r>
        <w:t>-</w:t>
      </w:r>
      <w:r w:rsidRPr="00805EB9">
        <w:t>to</w:t>
      </w:r>
      <w:r>
        <w:t>-</w:t>
      </w:r>
      <w:r w:rsidRPr="00805EB9">
        <w:t>d</w:t>
      </w:r>
      <w:r>
        <w:t xml:space="preserve">ate; every reasonable step </w:t>
      </w:r>
      <w:r w:rsidRPr="00805EB9">
        <w:t>must be taken to ensure that personal data t</w:t>
      </w:r>
      <w:r>
        <w:t xml:space="preserve">hat are inaccurate, having </w:t>
      </w:r>
      <w:r w:rsidRPr="00805EB9">
        <w:t>regard to the purposes for which they ar</w:t>
      </w:r>
      <w:r>
        <w:t xml:space="preserve">e processed, are erased or </w:t>
      </w:r>
      <w:r w:rsidRPr="00805EB9">
        <w:t>rectified without delay</w:t>
      </w:r>
      <w:r w:rsidR="00BC12D1">
        <w:t>;</w:t>
      </w:r>
    </w:p>
    <w:p w14:paraId="4B46A6A5" w14:textId="271F537C" w:rsidR="00525207" w:rsidRPr="00805EB9" w:rsidRDefault="00525207" w:rsidP="00A73344">
      <w:pPr>
        <w:pStyle w:val="ListNumber"/>
      </w:pPr>
      <w:r>
        <w:t>k</w:t>
      </w:r>
      <w:r w:rsidRPr="00805EB9">
        <w:t>ept in a form which permits identification of d</w:t>
      </w:r>
      <w:r>
        <w:t xml:space="preserve">ata subjects for no longer </w:t>
      </w:r>
      <w:r>
        <w:br/>
      </w:r>
      <w:r w:rsidRPr="00805EB9">
        <w:t>than is necessary for the purposes for w</w:t>
      </w:r>
      <w:r>
        <w:t xml:space="preserve">hich the personal data are </w:t>
      </w:r>
      <w:r>
        <w:br/>
      </w:r>
      <w:r w:rsidRPr="00805EB9">
        <w:t>processed; personal data may be stored for lon</w:t>
      </w:r>
      <w:r>
        <w:t xml:space="preserve">ger periods insofar as the </w:t>
      </w:r>
      <w:r w:rsidRPr="00805EB9">
        <w:t xml:space="preserve">personal data will be processed solely for archiving purposes </w:t>
      </w:r>
      <w:r>
        <w:t xml:space="preserve">in the public </w:t>
      </w:r>
      <w:r w:rsidRPr="00805EB9">
        <w:t>interest, scientific or historical research purpos</w:t>
      </w:r>
      <w:r>
        <w:t xml:space="preserve">es or statistical purposes </w:t>
      </w:r>
      <w:r w:rsidRPr="00805EB9">
        <w:t>subject to implementation of the appropriate te</w:t>
      </w:r>
      <w:r>
        <w:t xml:space="preserve">chnical and organisational </w:t>
      </w:r>
      <w:r w:rsidRPr="00805EB9">
        <w:t>measures required by the</w:t>
      </w:r>
      <w:r w:rsidR="00E66325">
        <w:t xml:space="preserve"> UK</w:t>
      </w:r>
      <w:r w:rsidRPr="00805EB9">
        <w:t xml:space="preserve"> GDPR in order t</w:t>
      </w:r>
      <w:r>
        <w:t xml:space="preserve">o safeguard the rights and </w:t>
      </w:r>
      <w:r w:rsidRPr="00805EB9">
        <w:t>freedoms of individuals</w:t>
      </w:r>
      <w:r w:rsidR="00BC12D1">
        <w:t>;</w:t>
      </w:r>
      <w:r w:rsidRPr="00805EB9">
        <w:t xml:space="preserve"> and</w:t>
      </w:r>
    </w:p>
    <w:p w14:paraId="7073E7C6" w14:textId="77777777" w:rsidR="00525207" w:rsidRPr="00805EB9" w:rsidRDefault="00525207" w:rsidP="00A73344">
      <w:pPr>
        <w:pStyle w:val="ListNumber"/>
      </w:pPr>
      <w:proofErr w:type="gramStart"/>
      <w:r>
        <w:t>p</w:t>
      </w:r>
      <w:r w:rsidRPr="00805EB9">
        <w:t>rocessed</w:t>
      </w:r>
      <w:proofErr w:type="gramEnd"/>
      <w:r w:rsidRPr="00805EB9">
        <w:t xml:space="preserve"> in a manner that ensures appropriate security of the personal data, including protection against unauthorised or unlawful processing and against accidental loss, destruction or damage, using appropriate technical or organisational measures.</w:t>
      </w:r>
    </w:p>
    <w:p w14:paraId="298F7CFC" w14:textId="77777777" w:rsidR="00525207" w:rsidRPr="00525207" w:rsidRDefault="00525207" w:rsidP="00525207">
      <w:pPr>
        <w:pStyle w:val="Heading2"/>
      </w:pPr>
      <w:bookmarkStart w:id="10" w:name="_Toc53504270"/>
      <w:r w:rsidRPr="00525207">
        <w:lastRenderedPageBreak/>
        <w:t>Fair, lawful and transparent processing</w:t>
      </w:r>
      <w:bookmarkEnd w:id="9"/>
      <w:bookmarkEnd w:id="10"/>
    </w:p>
    <w:p w14:paraId="00BA9250" w14:textId="545B6739" w:rsidR="00525207" w:rsidRPr="0034473D" w:rsidRDefault="00525207" w:rsidP="00525207">
      <w:r w:rsidRPr="0034473D">
        <w:t>T</w:t>
      </w:r>
      <w:r>
        <w:t xml:space="preserve">he </w:t>
      </w:r>
      <w:r w:rsidR="00E66325">
        <w:t xml:space="preserve">UK </w:t>
      </w:r>
      <w:r>
        <w:t>GDPR does not intend</w:t>
      </w:r>
      <w:r w:rsidRPr="0034473D">
        <w:t xml:space="preserve"> to prevent the processing of personal data, but to ensure that it is done fairly and without adversely affecting the rights of the data subject.</w:t>
      </w:r>
    </w:p>
    <w:p w14:paraId="108BB479" w14:textId="05698EA2" w:rsidR="00525207" w:rsidRDefault="00525207" w:rsidP="00525207">
      <w:r w:rsidRPr="0034473D">
        <w:t xml:space="preserve">For personal data to be processed lawfully, they must be processed on the basis of one of the legal grounds set out in </w:t>
      </w:r>
      <w:r w:rsidR="000F7FD4" w:rsidRPr="000F7FD4">
        <w:t>data protection legislation</w:t>
      </w:r>
      <w:r w:rsidRPr="0034473D">
        <w:t>. These include, among other things</w:t>
      </w:r>
      <w:r>
        <w:t>:</w:t>
      </w:r>
    </w:p>
    <w:p w14:paraId="5A973C48" w14:textId="59C64215" w:rsidR="00525207" w:rsidRDefault="00525207" w:rsidP="00525207">
      <w:pPr>
        <w:pStyle w:val="ListBullet"/>
      </w:pPr>
      <w:r>
        <w:rPr>
          <w:color w:val="000000" w:themeColor="text1"/>
        </w:rPr>
        <w:t>data subject</w:t>
      </w:r>
      <w:r w:rsidRPr="002213F1">
        <w:t xml:space="preserve"> </w:t>
      </w:r>
      <w:r w:rsidRPr="003B4776">
        <w:t>consent</w:t>
      </w:r>
      <w:r>
        <w:t>s</w:t>
      </w:r>
      <w:r w:rsidRPr="003B4776">
        <w:t xml:space="preserve"> to the processing</w:t>
      </w:r>
      <w:r w:rsidR="00BC12D1">
        <w:t>;</w:t>
      </w:r>
    </w:p>
    <w:p w14:paraId="76F06F95" w14:textId="4B189A88" w:rsidR="00525207" w:rsidRDefault="00525207" w:rsidP="00525207">
      <w:pPr>
        <w:pStyle w:val="ListBullet"/>
      </w:pPr>
      <w:r>
        <w:t>p</w:t>
      </w:r>
      <w:r w:rsidRPr="003B4776">
        <w:t>rocessing is necessary for the performance of a contract with the data subject</w:t>
      </w:r>
      <w:r w:rsidR="00BC12D1">
        <w:t>;</w:t>
      </w:r>
    </w:p>
    <w:p w14:paraId="00F58BFD" w14:textId="7D6A037F" w:rsidR="00525207" w:rsidRDefault="00525207" w:rsidP="00525207">
      <w:pPr>
        <w:pStyle w:val="ListBullet"/>
      </w:pPr>
      <w:r>
        <w:t>p</w:t>
      </w:r>
      <w:r w:rsidRPr="003B4776">
        <w:t>rocessing is necessary for the compliance with a legal obligation to which the data controller is subject</w:t>
      </w:r>
      <w:r w:rsidR="00BC12D1">
        <w:t>;</w:t>
      </w:r>
    </w:p>
    <w:p w14:paraId="670808E7" w14:textId="3C88E84B" w:rsidR="00525207" w:rsidRDefault="00525207" w:rsidP="00525207">
      <w:pPr>
        <w:pStyle w:val="ListBullet"/>
      </w:pPr>
      <w:r>
        <w:t>l</w:t>
      </w:r>
      <w:r w:rsidRPr="003B4776">
        <w:t>egitimate interest of the data controller or the party to whom the data is disclosed</w:t>
      </w:r>
      <w:r w:rsidR="00BC12D1">
        <w:t>;</w:t>
      </w:r>
    </w:p>
    <w:p w14:paraId="3A4A7543" w14:textId="3D919F2A" w:rsidR="00525207" w:rsidRDefault="00525207" w:rsidP="00525207">
      <w:pPr>
        <w:pStyle w:val="ListBullet"/>
      </w:pPr>
      <w:r>
        <w:t>p</w:t>
      </w:r>
      <w:r w:rsidRPr="003B4776">
        <w:t xml:space="preserve">rocessing </w:t>
      </w:r>
      <w:r>
        <w:t>is necessary for</w:t>
      </w:r>
      <w:r w:rsidRPr="003B4776">
        <w:t xml:space="preserve"> the protection of the vital interest of the data subject or of another natural person</w:t>
      </w:r>
      <w:r w:rsidR="00BC12D1">
        <w:t>;</w:t>
      </w:r>
      <w:r>
        <w:t xml:space="preserve"> or</w:t>
      </w:r>
    </w:p>
    <w:p w14:paraId="55816D7F" w14:textId="77777777" w:rsidR="00525207" w:rsidRPr="003B4776" w:rsidRDefault="00525207" w:rsidP="00525207">
      <w:pPr>
        <w:pStyle w:val="ListBullet"/>
      </w:pPr>
      <w:proofErr w:type="gramStart"/>
      <w:r>
        <w:t>processing</w:t>
      </w:r>
      <w:proofErr w:type="gramEnd"/>
      <w:r>
        <w:t xml:space="preserve"> is </w:t>
      </w:r>
      <w:r w:rsidRPr="003B4776">
        <w:t>for the performance of public interest task or the task of an official authority.</w:t>
      </w:r>
    </w:p>
    <w:p w14:paraId="61527907" w14:textId="3508B564" w:rsidR="00525207" w:rsidRPr="0034473D" w:rsidRDefault="00525207" w:rsidP="00525207">
      <w:r w:rsidRPr="0034473D">
        <w:t>When special categories</w:t>
      </w:r>
      <w:r>
        <w:t xml:space="preserve"> or criminal convictions</w:t>
      </w:r>
      <w:r w:rsidRPr="0034473D">
        <w:t xml:space="preserve"> </w:t>
      </w:r>
      <w:r>
        <w:t>data are</w:t>
      </w:r>
      <w:r w:rsidRPr="0034473D">
        <w:t xml:space="preserve"> being processed, additional conditions must be met. When processing this class of personal data as data controllers in</w:t>
      </w:r>
      <w:r w:rsidRPr="005965E8">
        <w:t xml:space="preserve"> </w:t>
      </w:r>
      <w:r w:rsidRPr="0034473D">
        <w:t xml:space="preserve">the course of </w:t>
      </w:r>
      <w:r w:rsidR="00BC12D1">
        <w:t>our</w:t>
      </w:r>
      <w:r w:rsidRPr="0034473D">
        <w:t xml:space="preserve"> business, </w:t>
      </w:r>
      <w:r w:rsidR="00BC12D1">
        <w:t>we</w:t>
      </w:r>
      <w:r w:rsidRPr="0034473D">
        <w:t xml:space="preserve"> will ensure that those requirements are met.</w:t>
      </w:r>
    </w:p>
    <w:p w14:paraId="33F9DDDB" w14:textId="11FEFF09" w:rsidR="00525207" w:rsidRPr="0034473D" w:rsidRDefault="00525207" w:rsidP="00525207">
      <w:r w:rsidRPr="0034473D">
        <w:t xml:space="preserve">In the course of </w:t>
      </w:r>
      <w:r w:rsidR="00BC12D1">
        <w:t>our</w:t>
      </w:r>
      <w:r w:rsidRPr="0034473D">
        <w:t xml:space="preserve"> work, </w:t>
      </w:r>
      <w:r w:rsidR="00BC12D1">
        <w:t>we</w:t>
      </w:r>
      <w:r w:rsidRPr="0034473D">
        <w:t xml:space="preserve"> may collect and process personal data to enable </w:t>
      </w:r>
      <w:r w:rsidR="00BC12D1">
        <w:t>us</w:t>
      </w:r>
      <w:r w:rsidRPr="0034473D">
        <w:t xml:space="preserve"> to:</w:t>
      </w:r>
    </w:p>
    <w:p w14:paraId="13C0EC02" w14:textId="7E8AAF11" w:rsidR="00525207" w:rsidRPr="0034473D" w:rsidRDefault="00525207" w:rsidP="00525207">
      <w:pPr>
        <w:pStyle w:val="ListBullet"/>
      </w:pPr>
      <w:r w:rsidRPr="0034473D">
        <w:t xml:space="preserve">carry out </w:t>
      </w:r>
      <w:r w:rsidR="00BC12D1">
        <w:t>our</w:t>
      </w:r>
      <w:r w:rsidRPr="0034473D">
        <w:t xml:space="preserve"> regulatory duties including</w:t>
      </w:r>
      <w:r>
        <w:t>,</w:t>
      </w:r>
      <w:r w:rsidRPr="0034473D">
        <w:t xml:space="preserve"> but not limited to</w:t>
      </w:r>
      <w:r>
        <w:t>,</w:t>
      </w:r>
      <w:r w:rsidRPr="0034473D">
        <w:t xml:space="preserve"> the consideration and investigation of complaints and policy issues, formal enforcement actions, providing advice and information</w:t>
      </w:r>
    </w:p>
    <w:p w14:paraId="6B2ACD35" w14:textId="77777777" w:rsidR="00525207" w:rsidRPr="0034473D" w:rsidRDefault="00525207" w:rsidP="00525207">
      <w:pPr>
        <w:pStyle w:val="ListBullet"/>
      </w:pPr>
      <w:r w:rsidRPr="0034473D">
        <w:t>maintain accounts and records</w:t>
      </w:r>
    </w:p>
    <w:p w14:paraId="640F6B34" w14:textId="77777777" w:rsidR="00525207" w:rsidRPr="0034473D" w:rsidRDefault="00525207" w:rsidP="00525207">
      <w:pPr>
        <w:pStyle w:val="ListBullet"/>
      </w:pPr>
      <w:r w:rsidRPr="0034473D">
        <w:t xml:space="preserve">support and manage staff, Commissioners and </w:t>
      </w:r>
      <w:r>
        <w:t>c</w:t>
      </w:r>
      <w:r w:rsidRPr="0034473D">
        <w:t>ommittee members</w:t>
      </w:r>
    </w:p>
    <w:p w14:paraId="3E909AF5" w14:textId="77777777" w:rsidR="00525207" w:rsidRPr="0034473D" w:rsidRDefault="00525207" w:rsidP="00525207">
      <w:pPr>
        <w:pStyle w:val="ListBullet"/>
      </w:pPr>
      <w:r w:rsidRPr="0034473D">
        <w:t>send promotional communications about the services provided</w:t>
      </w:r>
    </w:p>
    <w:p w14:paraId="4C958684" w14:textId="77777777" w:rsidR="00525207" w:rsidRPr="0034473D" w:rsidRDefault="00525207" w:rsidP="00525207">
      <w:pPr>
        <w:pStyle w:val="ListBullet"/>
      </w:pPr>
      <w:r w:rsidRPr="0034473D">
        <w:t>undertake research</w:t>
      </w:r>
    </w:p>
    <w:p w14:paraId="1F5643CE" w14:textId="77777777" w:rsidR="00525207" w:rsidRPr="0034473D" w:rsidRDefault="00525207" w:rsidP="00525207">
      <w:pPr>
        <w:pStyle w:val="ListBullet"/>
      </w:pPr>
      <w:r>
        <w:t>maintain</w:t>
      </w:r>
      <w:r w:rsidRPr="0034473D">
        <w:t xml:space="preserve"> a public register</w:t>
      </w:r>
    </w:p>
    <w:p w14:paraId="4B74051C" w14:textId="77777777" w:rsidR="00525207" w:rsidRPr="0034473D" w:rsidRDefault="00525207" w:rsidP="00525207">
      <w:pPr>
        <w:pStyle w:val="ListBullet"/>
      </w:pPr>
      <w:r>
        <w:t xml:space="preserve">carry out </w:t>
      </w:r>
      <w:r w:rsidRPr="0034473D">
        <w:t>internal and external support functions</w:t>
      </w:r>
    </w:p>
    <w:p w14:paraId="3CF4E3C1" w14:textId="77777777" w:rsidR="00525207" w:rsidRPr="0034473D" w:rsidRDefault="00525207" w:rsidP="00525207">
      <w:pPr>
        <w:pStyle w:val="ListBullet"/>
      </w:pPr>
      <w:r>
        <w:t xml:space="preserve">carry out </w:t>
      </w:r>
      <w:r w:rsidRPr="0034473D">
        <w:t>corporate administration</w:t>
      </w:r>
      <w:r>
        <w:t>, and</w:t>
      </w:r>
    </w:p>
    <w:p w14:paraId="19D24220" w14:textId="77777777" w:rsidR="00525207" w:rsidRPr="0034473D" w:rsidRDefault="00525207" w:rsidP="00525207">
      <w:pPr>
        <w:pStyle w:val="ListBullet"/>
      </w:pPr>
      <w:proofErr w:type="gramStart"/>
      <w:r w:rsidRPr="0034473D">
        <w:t>use</w:t>
      </w:r>
      <w:proofErr w:type="gramEnd"/>
      <w:r w:rsidRPr="0034473D">
        <w:t xml:space="preserve"> CCTV systems for </w:t>
      </w:r>
      <w:r>
        <w:t xml:space="preserve">staff and visitor safety and </w:t>
      </w:r>
      <w:r w:rsidRPr="0034473D">
        <w:t>crime prevention.</w:t>
      </w:r>
    </w:p>
    <w:p w14:paraId="323F8564" w14:textId="296B2539" w:rsidR="00525207" w:rsidRPr="0034473D" w:rsidRDefault="00BC12D1" w:rsidP="00525207">
      <w:r>
        <w:lastRenderedPageBreak/>
        <w:t>We</w:t>
      </w:r>
      <w:r w:rsidR="00525207" w:rsidRPr="0034473D">
        <w:t xml:space="preserve"> may process data received directly from a data subject (for example, by completing forms or by corresponding with us by mail, phone, </w:t>
      </w:r>
      <w:proofErr w:type="gramStart"/>
      <w:r w:rsidR="00525207" w:rsidRPr="0034473D">
        <w:t>email</w:t>
      </w:r>
      <w:proofErr w:type="gramEnd"/>
      <w:r w:rsidR="00525207" w:rsidRPr="0034473D">
        <w:t xml:space="preserve"> or otherwise) and data received from other sources (including, for example, in </w:t>
      </w:r>
      <w:r w:rsidR="00525207">
        <w:t>c</w:t>
      </w:r>
      <w:r w:rsidR="00525207" w:rsidRPr="0034473D">
        <w:t xml:space="preserve">ourt proceedings, </w:t>
      </w:r>
      <w:r w:rsidR="00525207">
        <w:t xml:space="preserve">or from </w:t>
      </w:r>
      <w:r w:rsidR="00525207" w:rsidRPr="0034473D">
        <w:t>business partners, sub-contractors and others).</w:t>
      </w:r>
    </w:p>
    <w:p w14:paraId="49ED16E8" w14:textId="58F0F060" w:rsidR="00525207" w:rsidRPr="0034473D" w:rsidRDefault="00525207" w:rsidP="00525207">
      <w:r>
        <w:t>Special category</w:t>
      </w:r>
      <w:r w:rsidRPr="0034473D">
        <w:t xml:space="preserve"> information</w:t>
      </w:r>
      <w:r>
        <w:t xml:space="preserve">, or information relating to criminal convictions or </w:t>
      </w:r>
      <w:r w:rsidR="007D3F5B">
        <w:t>offence</w:t>
      </w:r>
      <w:r>
        <w:t>s,</w:t>
      </w:r>
      <w:r w:rsidRPr="0034473D">
        <w:t xml:space="preserve"> may be processed for a number of reasons, including but not limited to: </w:t>
      </w:r>
    </w:p>
    <w:p w14:paraId="2794AA5C" w14:textId="1BF646A1" w:rsidR="00525207" w:rsidRPr="0034473D" w:rsidRDefault="00525207" w:rsidP="004D40B9">
      <w:pPr>
        <w:pStyle w:val="ListBullet"/>
      </w:pPr>
      <w:r w:rsidRPr="0034473D">
        <w:t>equal opportunity monitoring</w:t>
      </w:r>
      <w:r w:rsidR="00BC12D1">
        <w:t>;</w:t>
      </w:r>
    </w:p>
    <w:p w14:paraId="0D584A5D" w14:textId="04E13ACB" w:rsidR="00525207" w:rsidRPr="0034473D" w:rsidRDefault="00525207" w:rsidP="004D40B9">
      <w:pPr>
        <w:pStyle w:val="ListBullet"/>
      </w:pPr>
      <w:r w:rsidRPr="0034473D">
        <w:t>meet</w:t>
      </w:r>
      <w:r>
        <w:t>ing</w:t>
      </w:r>
      <w:r w:rsidRPr="0034473D">
        <w:t xml:space="preserve"> the needs of individuals with </w:t>
      </w:r>
      <w:r>
        <w:t>protected characteristics</w:t>
      </w:r>
      <w:r w:rsidR="00BC12D1">
        <w:t>;</w:t>
      </w:r>
    </w:p>
    <w:p w14:paraId="0F299B71" w14:textId="3AEF70E1" w:rsidR="00525207" w:rsidRPr="0034473D" w:rsidRDefault="00525207" w:rsidP="004D40B9">
      <w:pPr>
        <w:pStyle w:val="ListBullet"/>
      </w:pPr>
      <w:r w:rsidRPr="0034473D">
        <w:t>disciplinary or grievance proceedings</w:t>
      </w:r>
      <w:r w:rsidR="00BC12D1">
        <w:t>;</w:t>
      </w:r>
    </w:p>
    <w:p w14:paraId="4A3D06BB" w14:textId="2E427A34" w:rsidR="00525207" w:rsidRDefault="00525207" w:rsidP="004D40B9">
      <w:pPr>
        <w:pStyle w:val="ListBullet"/>
      </w:pPr>
      <w:r w:rsidRPr="0034473D">
        <w:t>fulfil</w:t>
      </w:r>
      <w:r>
        <w:t>ling</w:t>
      </w:r>
      <w:r w:rsidRPr="0034473D">
        <w:t xml:space="preserve"> a legal obligation</w:t>
      </w:r>
      <w:r w:rsidR="00BC12D1">
        <w:t>;</w:t>
      </w:r>
      <w:r>
        <w:t xml:space="preserve"> </w:t>
      </w:r>
      <w:r w:rsidRPr="003D3CEB">
        <w:t xml:space="preserve">and/or </w:t>
      </w:r>
    </w:p>
    <w:p w14:paraId="2238151E" w14:textId="4756E2E0" w:rsidR="00525207" w:rsidRPr="003D3CEB" w:rsidRDefault="00525207" w:rsidP="004D40B9">
      <w:pPr>
        <w:pStyle w:val="ListBullet"/>
      </w:pPr>
      <w:proofErr w:type="gramStart"/>
      <w:r w:rsidRPr="003D3CEB">
        <w:t>fulfil</w:t>
      </w:r>
      <w:r>
        <w:t>ling</w:t>
      </w:r>
      <w:proofErr w:type="gramEnd"/>
      <w:r w:rsidRPr="003D3CEB">
        <w:t xml:space="preserve"> </w:t>
      </w:r>
      <w:r w:rsidR="00BC12D1">
        <w:t>our</w:t>
      </w:r>
      <w:r w:rsidRPr="003D3CEB">
        <w:t xml:space="preserve"> role and function including for purposes of litigation. </w:t>
      </w:r>
    </w:p>
    <w:p w14:paraId="5C8EE9ED" w14:textId="3E6B3314" w:rsidR="00525207" w:rsidRPr="00791FB8" w:rsidRDefault="00525207" w:rsidP="00525207">
      <w:r w:rsidRPr="0034473D">
        <w:t>Any personal</w:t>
      </w:r>
      <w:r>
        <w:t>,</w:t>
      </w:r>
      <w:r w:rsidRPr="0034473D">
        <w:t xml:space="preserve"> special categories</w:t>
      </w:r>
      <w:r>
        <w:t>, or criminal conviction</w:t>
      </w:r>
      <w:r w:rsidRPr="0034473D">
        <w:t xml:space="preserve"> data will only be </w:t>
      </w:r>
      <w:r w:rsidR="00BC12D1">
        <w:t>processed</w:t>
      </w:r>
      <w:r w:rsidR="00BC12D1" w:rsidRPr="0034473D">
        <w:t xml:space="preserve"> </w:t>
      </w:r>
      <w:r w:rsidRPr="0034473D">
        <w:t>for the purpose</w:t>
      </w:r>
      <w:r>
        <w:t xml:space="preserve">s for which it was gathered. </w:t>
      </w:r>
      <w:r w:rsidRPr="0034473D">
        <w:t xml:space="preserve">All staff must be aware </w:t>
      </w:r>
      <w:r w:rsidR="00BC12D1">
        <w:t xml:space="preserve">of </w:t>
      </w:r>
      <w:r w:rsidRPr="0034473D">
        <w:t>and respect their obligations in relation to the confidential</w:t>
      </w:r>
      <w:r>
        <w:t xml:space="preserve"> nature of the information that they handle and, in particular, any duty of confidentiality that may exist.</w:t>
      </w:r>
    </w:p>
    <w:p w14:paraId="71B1149E" w14:textId="024E71EC" w:rsidR="00525207" w:rsidRPr="00791FB8" w:rsidRDefault="00BC12D1" w:rsidP="00525207">
      <w:r>
        <w:t>We</w:t>
      </w:r>
      <w:r w:rsidR="00525207" w:rsidRPr="00791FB8">
        <w:t xml:space="preserve"> will process personal data in line with the individual’s reasonable expectations, ensuring fairness.</w:t>
      </w:r>
    </w:p>
    <w:p w14:paraId="3170E457" w14:textId="5448A44C" w:rsidR="00525207" w:rsidRPr="00791FB8" w:rsidRDefault="00BC12D1" w:rsidP="00525207">
      <w:r>
        <w:t>We</w:t>
      </w:r>
      <w:r w:rsidR="00525207" w:rsidRPr="00791FB8">
        <w:t xml:space="preserve"> will ensure that individuals are informed about how their personal data will be processed and will make this information available to them. </w:t>
      </w:r>
      <w:r>
        <w:t>We</w:t>
      </w:r>
      <w:r w:rsidR="00525207" w:rsidRPr="00791FB8">
        <w:t xml:space="preserve"> will be clear from the outset (at the point of collection) why personal data is collected and what </w:t>
      </w:r>
      <w:r>
        <w:t>we</w:t>
      </w:r>
      <w:r w:rsidR="00525207" w:rsidRPr="00791FB8">
        <w:t xml:space="preserve"> intend to do with it</w:t>
      </w:r>
      <w:r w:rsidR="00525207">
        <w:t>,</w:t>
      </w:r>
      <w:r w:rsidR="00525207" w:rsidRPr="00791FB8">
        <w:t xml:space="preserve"> and </w:t>
      </w:r>
      <w:r>
        <w:t xml:space="preserve">we </w:t>
      </w:r>
      <w:r w:rsidR="00525207" w:rsidRPr="00791FB8">
        <w:t>will provide such notices to the relevant individuals.</w:t>
      </w:r>
    </w:p>
    <w:p w14:paraId="52F4A9A8" w14:textId="77777777" w:rsidR="00525207" w:rsidRPr="004D40B9" w:rsidRDefault="00525207" w:rsidP="004D40B9">
      <w:pPr>
        <w:pStyle w:val="Heading2"/>
      </w:pPr>
      <w:bookmarkStart w:id="11" w:name="_Toc499545049"/>
      <w:bookmarkStart w:id="12" w:name="_Toc53504271"/>
      <w:r w:rsidRPr="004D40B9">
        <w:t>Collected for specified and legitimate purpose(s)</w:t>
      </w:r>
      <w:bookmarkEnd w:id="11"/>
      <w:bookmarkEnd w:id="12"/>
    </w:p>
    <w:p w14:paraId="0F1D79E3" w14:textId="6EFA23FD" w:rsidR="00525207" w:rsidRPr="00791FB8" w:rsidRDefault="00BC12D1" w:rsidP="00525207">
      <w:pPr>
        <w:rPr>
          <w:b/>
        </w:rPr>
      </w:pPr>
      <w:r>
        <w:t>We</w:t>
      </w:r>
      <w:r w:rsidR="00525207" w:rsidRPr="00791FB8">
        <w:t xml:space="preserve"> will identify a specific purpose or purposes for data </w:t>
      </w:r>
      <w:r>
        <w:t>that we</w:t>
      </w:r>
      <w:r w:rsidR="00525207" w:rsidRPr="00791FB8">
        <w:t xml:space="preserve"> collect, use, store, disclose and share</w:t>
      </w:r>
      <w:r w:rsidR="00525207">
        <w:t>,</w:t>
      </w:r>
      <w:r w:rsidR="00525207" w:rsidRPr="00791FB8">
        <w:t xml:space="preserve"> and </w:t>
      </w:r>
      <w:r>
        <w:t xml:space="preserve">we </w:t>
      </w:r>
      <w:r w:rsidR="00525207" w:rsidRPr="00791FB8">
        <w:t xml:space="preserve">will also ensure that </w:t>
      </w:r>
      <w:r>
        <w:t>the data</w:t>
      </w:r>
      <w:r w:rsidR="00525207" w:rsidRPr="00791FB8">
        <w:t xml:space="preserve"> is not used for any other purpose(s) that is incompatible with the original purpose(s). </w:t>
      </w:r>
    </w:p>
    <w:p w14:paraId="78D9A37F" w14:textId="77777777" w:rsidR="00525207" w:rsidRPr="004D40B9" w:rsidRDefault="00525207" w:rsidP="004D40B9">
      <w:pPr>
        <w:pStyle w:val="Heading2"/>
      </w:pPr>
      <w:bookmarkStart w:id="13" w:name="_Toc499545050"/>
      <w:bookmarkStart w:id="14" w:name="_Toc53504272"/>
      <w:r w:rsidRPr="004D40B9">
        <w:t>Adequate, relevant and limited data processing</w:t>
      </w:r>
      <w:bookmarkEnd w:id="13"/>
      <w:bookmarkEnd w:id="14"/>
      <w:r w:rsidRPr="004D40B9">
        <w:t xml:space="preserve"> </w:t>
      </w:r>
    </w:p>
    <w:p w14:paraId="50623B84" w14:textId="768B8713" w:rsidR="00525207" w:rsidRPr="00791FB8" w:rsidRDefault="00BC12D1" w:rsidP="00525207">
      <w:r>
        <w:t>We</w:t>
      </w:r>
      <w:r w:rsidR="00525207" w:rsidRPr="0034473D">
        <w:t xml:space="preserve"> will only collect </w:t>
      </w:r>
      <w:r w:rsidR="00525207">
        <w:t xml:space="preserve">the minimum </w:t>
      </w:r>
      <w:r w:rsidR="00525207" w:rsidRPr="0034473D">
        <w:t xml:space="preserve">personal data required for the specific purpose </w:t>
      </w:r>
      <w:r w:rsidR="00525207" w:rsidRPr="00791FB8">
        <w:t xml:space="preserve">notified to the data subject. </w:t>
      </w:r>
      <w:r>
        <w:t>We</w:t>
      </w:r>
      <w:r w:rsidR="00525207" w:rsidRPr="00791FB8">
        <w:t xml:space="preserve"> will anonymise and </w:t>
      </w:r>
      <w:proofErr w:type="spellStart"/>
      <w:r w:rsidR="00525207" w:rsidRPr="00791FB8">
        <w:t>pseudonymise</w:t>
      </w:r>
      <w:proofErr w:type="spellEnd"/>
      <w:r w:rsidR="00525207" w:rsidRPr="00791FB8">
        <w:t xml:space="preserve"> personal data whenever possible to ensure that data is further protected.</w:t>
      </w:r>
    </w:p>
    <w:p w14:paraId="639224DF" w14:textId="77777777" w:rsidR="00525207" w:rsidRPr="004D40B9" w:rsidRDefault="00525207" w:rsidP="004D40B9">
      <w:pPr>
        <w:pStyle w:val="Heading2"/>
      </w:pPr>
      <w:bookmarkStart w:id="15" w:name="_Toc53504273"/>
      <w:r w:rsidRPr="004D40B9">
        <w:lastRenderedPageBreak/>
        <w:t>Accuracy</w:t>
      </w:r>
      <w:bookmarkEnd w:id="15"/>
    </w:p>
    <w:p w14:paraId="789D6AC1" w14:textId="1B24197D" w:rsidR="00525207" w:rsidRPr="0034473D" w:rsidRDefault="00BC12D1" w:rsidP="00525207">
      <w:r>
        <w:t>We</w:t>
      </w:r>
      <w:r w:rsidR="00525207" w:rsidRPr="0034473D">
        <w:t xml:space="preserve"> will ensure that personal data </w:t>
      </w:r>
      <w:r>
        <w:t>held</w:t>
      </w:r>
      <w:r w:rsidR="00525207" w:rsidRPr="0034473D">
        <w:t xml:space="preserve"> is accurate and</w:t>
      </w:r>
      <w:r w:rsidR="00525207">
        <w:t xml:space="preserve"> kept up-to-date and</w:t>
      </w:r>
      <w:r w:rsidR="00525207" w:rsidRPr="0034473D">
        <w:t xml:space="preserve"> </w:t>
      </w:r>
      <w:r>
        <w:t xml:space="preserve">we </w:t>
      </w:r>
      <w:r w:rsidR="00525207" w:rsidRPr="0034473D">
        <w:t xml:space="preserve">will check the accuracy of personal data at regular intervals. Inaccurate or outdated personal data will be deleted or amended and all reasonable steps will be taken to </w:t>
      </w:r>
      <w:r w:rsidR="00525207">
        <w:t>maintain accurate records.</w:t>
      </w:r>
    </w:p>
    <w:p w14:paraId="4A1575F5" w14:textId="77777777" w:rsidR="00525207" w:rsidRPr="004D40B9" w:rsidRDefault="00525207" w:rsidP="004D40B9">
      <w:pPr>
        <w:pStyle w:val="Heading2"/>
      </w:pPr>
      <w:bookmarkStart w:id="16" w:name="_Toc53504274"/>
      <w:r w:rsidRPr="004D40B9">
        <w:t>Retention</w:t>
      </w:r>
      <w:bookmarkEnd w:id="16"/>
    </w:p>
    <w:p w14:paraId="345B1DFB" w14:textId="3C13B4A3" w:rsidR="00525207" w:rsidRPr="0034473D" w:rsidRDefault="00BC12D1" w:rsidP="00525207">
      <w:r>
        <w:t>We</w:t>
      </w:r>
      <w:r w:rsidR="00525207" w:rsidRPr="0034473D">
        <w:t xml:space="preserve"> hold different types of information for different lengths of time, depending on the lega</w:t>
      </w:r>
      <w:r w:rsidR="00525207">
        <w:t xml:space="preserve">l and operational requirements, and </w:t>
      </w:r>
      <w:r>
        <w:t xml:space="preserve">we </w:t>
      </w:r>
      <w:r w:rsidR="00525207" w:rsidRPr="0034473D">
        <w:t xml:space="preserve">will keep some </w:t>
      </w:r>
      <w:r w:rsidR="00525207">
        <w:t xml:space="preserve">personal </w:t>
      </w:r>
      <w:r w:rsidR="00525207" w:rsidRPr="0034473D">
        <w:t xml:space="preserve">information longer than others in line with financial, legal or archival requirements. </w:t>
      </w:r>
    </w:p>
    <w:p w14:paraId="269A0831" w14:textId="04C1FB47" w:rsidR="00525207" w:rsidRPr="0034473D" w:rsidRDefault="00BC12D1" w:rsidP="00525207">
      <w:r>
        <w:t>We</w:t>
      </w:r>
      <w:r w:rsidR="00525207" w:rsidRPr="0034473D">
        <w:t xml:space="preserve"> will not keep personal data longer than is necessary for the purpose or purposes for which </w:t>
      </w:r>
      <w:r>
        <w:t>it was</w:t>
      </w:r>
      <w:r w:rsidR="00525207" w:rsidRPr="0034473D">
        <w:t xml:space="preserve"> collected. When personal data is no longer needed</w:t>
      </w:r>
      <w:r w:rsidR="00525207">
        <w:t>,</w:t>
      </w:r>
      <w:r w:rsidR="00525207" w:rsidRPr="0034473D">
        <w:t xml:space="preserve"> it will be disposed of </w:t>
      </w:r>
      <w:r w:rsidR="00525207">
        <w:t xml:space="preserve">securely </w:t>
      </w:r>
      <w:r w:rsidR="00525207" w:rsidRPr="0034473D">
        <w:t xml:space="preserve">unless there are </w:t>
      </w:r>
      <w:r w:rsidR="00525207">
        <w:t xml:space="preserve">legal or </w:t>
      </w:r>
      <w:r w:rsidR="00525207" w:rsidRPr="0034473D">
        <w:t>other grounds for retaining the data.</w:t>
      </w:r>
    </w:p>
    <w:p w14:paraId="7E3909C0" w14:textId="77777777" w:rsidR="00525207" w:rsidRPr="004D40B9" w:rsidRDefault="00525207" w:rsidP="004D40B9">
      <w:pPr>
        <w:pStyle w:val="Heading2"/>
      </w:pPr>
      <w:bookmarkStart w:id="17" w:name="_Toc499545053"/>
      <w:bookmarkStart w:id="18" w:name="_Toc53504275"/>
      <w:r w:rsidRPr="004D40B9">
        <w:t>Security of personal data</w:t>
      </w:r>
      <w:bookmarkEnd w:id="17"/>
      <w:bookmarkEnd w:id="18"/>
      <w:r w:rsidRPr="004D40B9">
        <w:t xml:space="preserve"> </w:t>
      </w:r>
    </w:p>
    <w:p w14:paraId="6D3815AA" w14:textId="497ADE7D" w:rsidR="00525207" w:rsidRPr="0034473D" w:rsidRDefault="00BC12D1" w:rsidP="00525207">
      <w:r>
        <w:t>We</w:t>
      </w:r>
      <w:r w:rsidR="00525207" w:rsidRPr="0034473D">
        <w:t xml:space="preserve"> will ensure that </w:t>
      </w:r>
      <w:r w:rsidR="00525207">
        <w:t xml:space="preserve">appropriate security measures are in place </w:t>
      </w:r>
      <w:r>
        <w:t>so that</w:t>
      </w:r>
      <w:r w:rsidR="00525207">
        <w:t xml:space="preserve"> </w:t>
      </w:r>
      <w:r w:rsidR="00525207" w:rsidRPr="0034473D">
        <w:t xml:space="preserve">personal data is kept secure and protected against unauthorised or unlawful processing and against accidental loss, destruction or damage. Personal data will only be transferred </w:t>
      </w:r>
      <w:r w:rsidR="00525207">
        <w:t xml:space="preserve">to third parties with appropriate assurance of security and with appropriate security controls in place. </w:t>
      </w:r>
    </w:p>
    <w:p w14:paraId="1BA411F9" w14:textId="09B62DEA" w:rsidR="00525207" w:rsidRDefault="00BC12D1" w:rsidP="00525207">
      <w:r>
        <w:t>We</w:t>
      </w:r>
      <w:r w:rsidR="00525207" w:rsidRPr="0034473D">
        <w:t xml:space="preserve"> will </w:t>
      </w:r>
      <w:r w:rsidR="00525207">
        <w:t xml:space="preserve">implement and </w:t>
      </w:r>
      <w:r w:rsidR="00525207" w:rsidRPr="0034473D">
        <w:t>maintain data security by protecting the confidentiality, integrity and availability of the personal data, defined as follows:</w:t>
      </w:r>
    </w:p>
    <w:p w14:paraId="005230A3" w14:textId="2D0C2EF1" w:rsidR="00525207" w:rsidRDefault="00525207" w:rsidP="004D40B9">
      <w:pPr>
        <w:pStyle w:val="ListBullet"/>
      </w:pPr>
      <w:r w:rsidRPr="008D5931">
        <w:rPr>
          <w:b/>
        </w:rPr>
        <w:t>Confidentiality:</w:t>
      </w:r>
      <w:r w:rsidRPr="008D5931">
        <w:t xml:space="preserve"> only people who are authorised and need to access the data can access it</w:t>
      </w:r>
      <w:r w:rsidR="00BC12D1">
        <w:t>;</w:t>
      </w:r>
    </w:p>
    <w:p w14:paraId="6C209303" w14:textId="4771B196" w:rsidR="00525207" w:rsidRDefault="00525207" w:rsidP="004D40B9">
      <w:pPr>
        <w:pStyle w:val="ListBullet"/>
      </w:pPr>
      <w:r w:rsidRPr="00334885">
        <w:rPr>
          <w:b/>
        </w:rPr>
        <w:t>Integrity:</w:t>
      </w:r>
      <w:r w:rsidRPr="00334885">
        <w:t xml:space="preserve"> personal data will be accurate and trustworthy for the purpose for which it is needed</w:t>
      </w:r>
      <w:r w:rsidR="00BC12D1">
        <w:t>;</w:t>
      </w:r>
    </w:p>
    <w:p w14:paraId="38B4C3F7" w14:textId="77777777" w:rsidR="00525207" w:rsidRPr="00334885" w:rsidRDefault="00525207" w:rsidP="004D40B9">
      <w:pPr>
        <w:pStyle w:val="ListBullet"/>
      </w:pPr>
      <w:r w:rsidRPr="00334885">
        <w:rPr>
          <w:b/>
        </w:rPr>
        <w:t>Availability:</w:t>
      </w:r>
      <w:r w:rsidRPr="00334885">
        <w:t xml:space="preserve"> authorised users will be able to access the data when they need it for authorised purposes. </w:t>
      </w:r>
    </w:p>
    <w:p w14:paraId="09CEB5EC" w14:textId="6FB69FC1" w:rsidR="00525207" w:rsidRPr="008D5931" w:rsidRDefault="00525207" w:rsidP="00525207">
      <w:r w:rsidRPr="008D5931">
        <w:t xml:space="preserve">The steps </w:t>
      </w:r>
      <w:r w:rsidR="00BC12D1">
        <w:t>we</w:t>
      </w:r>
      <w:r w:rsidRPr="008D5931">
        <w:t xml:space="preserve"> will take to ensure the security of personal data include:</w:t>
      </w:r>
    </w:p>
    <w:p w14:paraId="5A25D462" w14:textId="77777777" w:rsidR="00525207" w:rsidRPr="008D5931" w:rsidRDefault="00525207" w:rsidP="004D40B9">
      <w:pPr>
        <w:pStyle w:val="ListBullet"/>
      </w:pPr>
      <w:r w:rsidRPr="008D5931">
        <w:t>managing access to personal data on a ‘need-to-know’ basis</w:t>
      </w:r>
    </w:p>
    <w:p w14:paraId="78518F89" w14:textId="77777777" w:rsidR="00525207" w:rsidRPr="008D5931" w:rsidRDefault="00525207" w:rsidP="004D40B9">
      <w:pPr>
        <w:pStyle w:val="ListBullet"/>
      </w:pPr>
      <w:r w:rsidRPr="008D5931">
        <w:lastRenderedPageBreak/>
        <w:t>putting in place policies, procedures and protocols to ensure the security of personal data</w:t>
      </w:r>
    </w:p>
    <w:p w14:paraId="6BFC7619" w14:textId="77777777" w:rsidR="00525207" w:rsidRPr="008D5931" w:rsidRDefault="00525207" w:rsidP="004D40B9">
      <w:pPr>
        <w:pStyle w:val="ListBullet"/>
      </w:pPr>
      <w:r w:rsidRPr="008D5931">
        <w:t>ensuring ongoing training and awareness for staff</w:t>
      </w:r>
    </w:p>
    <w:p w14:paraId="4F4B9CAF" w14:textId="77777777" w:rsidR="00525207" w:rsidRPr="008D5931" w:rsidRDefault="00525207" w:rsidP="004D40B9">
      <w:pPr>
        <w:pStyle w:val="ListBullet"/>
      </w:pPr>
      <w:r w:rsidRPr="008D5931">
        <w:t>obtaining security assurance of third parties and putting in place agreements to protect personal data</w:t>
      </w:r>
    </w:p>
    <w:p w14:paraId="22C6CC4E" w14:textId="77777777" w:rsidR="00525207" w:rsidRPr="008D5931" w:rsidRDefault="00525207" w:rsidP="004D40B9">
      <w:pPr>
        <w:pStyle w:val="ListBullet"/>
      </w:pPr>
      <w:r w:rsidRPr="008D5931">
        <w:t xml:space="preserve">where appropriate, using </w:t>
      </w:r>
      <w:proofErr w:type="spellStart"/>
      <w:r w:rsidRPr="008D5931">
        <w:t>pseudonymisation</w:t>
      </w:r>
      <w:proofErr w:type="spellEnd"/>
      <w:r w:rsidRPr="008D5931">
        <w:t xml:space="preserve"> and encryption of personal data</w:t>
      </w:r>
    </w:p>
    <w:p w14:paraId="3F9880F0" w14:textId="77777777" w:rsidR="00525207" w:rsidRPr="008D5931" w:rsidRDefault="00525207" w:rsidP="004D40B9">
      <w:pPr>
        <w:pStyle w:val="ListBullet"/>
      </w:pPr>
      <w:r w:rsidRPr="008D5931">
        <w:t>maintaining ongoing review and testing of processing systems and services</w:t>
      </w:r>
    </w:p>
    <w:p w14:paraId="58973E4B" w14:textId="77777777" w:rsidR="00525207" w:rsidRPr="008D5931" w:rsidRDefault="00525207" w:rsidP="004D40B9">
      <w:pPr>
        <w:pStyle w:val="ListBullet"/>
      </w:pPr>
      <w:r w:rsidRPr="008D5931">
        <w:t>undertaking data quality checks to ensure data is accurate</w:t>
      </w:r>
    </w:p>
    <w:p w14:paraId="3D3DAB8C" w14:textId="77777777" w:rsidR="00525207" w:rsidRPr="008D5931" w:rsidRDefault="00525207" w:rsidP="004D40B9">
      <w:pPr>
        <w:pStyle w:val="ListBullet"/>
      </w:pPr>
      <w:r w:rsidRPr="008D5931">
        <w:t>restoring access to personal data in a timely manner in the event of a physical or technical incident, and</w:t>
      </w:r>
    </w:p>
    <w:p w14:paraId="01EAEDB5" w14:textId="77777777" w:rsidR="00525207" w:rsidRDefault="00525207" w:rsidP="004D40B9">
      <w:pPr>
        <w:pStyle w:val="ListBullet"/>
      </w:pPr>
      <w:proofErr w:type="gramStart"/>
      <w:r w:rsidRPr="00791FB8">
        <w:t>regularly</w:t>
      </w:r>
      <w:proofErr w:type="gramEnd"/>
      <w:r w:rsidRPr="00791FB8">
        <w:t xml:space="preserve"> test</w:t>
      </w:r>
      <w:r>
        <w:t>ing</w:t>
      </w:r>
      <w:r w:rsidRPr="00791FB8">
        <w:t>, assess</w:t>
      </w:r>
      <w:r>
        <w:t>ing</w:t>
      </w:r>
      <w:r w:rsidRPr="00791FB8">
        <w:t xml:space="preserve"> and evaluat</w:t>
      </w:r>
      <w:r>
        <w:t>ing</w:t>
      </w:r>
      <w:r w:rsidRPr="00791FB8">
        <w:t xml:space="preserve"> the effectiveness of technical and organisational measures for ensuring the security of the processing.</w:t>
      </w:r>
    </w:p>
    <w:p w14:paraId="2CADF60C" w14:textId="77777777" w:rsidR="00525207" w:rsidRPr="00791FB8" w:rsidRDefault="00525207" w:rsidP="004D40B9">
      <w:pPr>
        <w:pStyle w:val="Heading1"/>
      </w:pPr>
      <w:bookmarkStart w:id="19" w:name="_Toc499545054"/>
      <w:bookmarkStart w:id="20" w:name="_Toc511208714"/>
      <w:bookmarkStart w:id="21" w:name="_Toc53504276"/>
      <w:r w:rsidRPr="00791FB8">
        <w:lastRenderedPageBreak/>
        <w:t xml:space="preserve">Part 3: </w:t>
      </w:r>
      <w:bookmarkEnd w:id="19"/>
      <w:bookmarkEnd w:id="20"/>
      <w:r w:rsidRPr="008D5931">
        <w:rPr>
          <w:rStyle w:val="apple-converted-space"/>
        </w:rPr>
        <w:t>Accountability</w:t>
      </w:r>
      <w:bookmarkEnd w:id="21"/>
    </w:p>
    <w:p w14:paraId="28C4F42B" w14:textId="4C1BAE44" w:rsidR="00525207" w:rsidRPr="00791FB8" w:rsidRDefault="007D3F5B" w:rsidP="00525207">
      <w:r>
        <w:t>We</w:t>
      </w:r>
      <w:r w:rsidR="00525207" w:rsidRPr="00791FB8">
        <w:t xml:space="preserve"> will maintain a comprehensive data protection management programme across the organisation and will include an internal governance structure to foster a culture of data protection across the organisation. This will include:</w:t>
      </w:r>
    </w:p>
    <w:p w14:paraId="26D7DCE1" w14:textId="5CF949FB" w:rsidR="00525207" w:rsidRPr="00791FB8" w:rsidRDefault="00525207" w:rsidP="004D40B9">
      <w:pPr>
        <w:pStyle w:val="ListBullet"/>
      </w:pPr>
      <w:r w:rsidRPr="00791FB8">
        <w:t xml:space="preserve">an </w:t>
      </w:r>
      <w:r>
        <w:t>i</w:t>
      </w:r>
      <w:r w:rsidRPr="00791FB8">
        <w:t xml:space="preserve">nformation </w:t>
      </w:r>
      <w:r>
        <w:t>a</w:t>
      </w:r>
      <w:r w:rsidRPr="00791FB8">
        <w:t xml:space="preserve">sset </w:t>
      </w:r>
      <w:r>
        <w:t>r</w:t>
      </w:r>
      <w:r w:rsidRPr="00791FB8">
        <w:t xml:space="preserve">egister (IAR) </w:t>
      </w:r>
      <w:r w:rsidR="007D3F5B">
        <w:t>which incorporates our</w:t>
      </w:r>
      <w:r w:rsidRPr="00791FB8">
        <w:t xml:space="preserve"> </w:t>
      </w:r>
      <w:r>
        <w:t>r</w:t>
      </w:r>
      <w:r w:rsidRPr="00791FB8">
        <w:t xml:space="preserve">ecord of </w:t>
      </w:r>
      <w:r>
        <w:t>p</w:t>
      </w:r>
      <w:r w:rsidRPr="00791FB8">
        <w:t xml:space="preserve">rocessing </w:t>
      </w:r>
      <w:r>
        <w:t>a</w:t>
      </w:r>
      <w:r w:rsidRPr="00791FB8">
        <w:t>ctivities (ROPA)</w:t>
      </w:r>
    </w:p>
    <w:p w14:paraId="4241739D" w14:textId="77777777" w:rsidR="00525207" w:rsidRPr="00791FB8" w:rsidRDefault="00525207" w:rsidP="004D40B9">
      <w:pPr>
        <w:pStyle w:val="ListBullet"/>
      </w:pPr>
      <w:r>
        <w:t>d</w:t>
      </w:r>
      <w:r w:rsidRPr="00791FB8">
        <w:t xml:space="preserve">ata </w:t>
      </w:r>
      <w:r>
        <w:t>p</w:t>
      </w:r>
      <w:r w:rsidRPr="00791FB8">
        <w:t xml:space="preserve">rotection by </w:t>
      </w:r>
      <w:r>
        <w:t>d</w:t>
      </w:r>
      <w:r w:rsidRPr="00791FB8">
        <w:t xml:space="preserve">esign and by </w:t>
      </w:r>
      <w:r>
        <w:t>d</w:t>
      </w:r>
      <w:r w:rsidRPr="00791FB8">
        <w:t>efault</w:t>
      </w:r>
    </w:p>
    <w:p w14:paraId="63FD19A3" w14:textId="77777777" w:rsidR="00525207" w:rsidRPr="00791FB8" w:rsidRDefault="00525207" w:rsidP="004D40B9">
      <w:pPr>
        <w:pStyle w:val="ListBullet"/>
      </w:pPr>
      <w:r>
        <w:t>u</w:t>
      </w:r>
      <w:r w:rsidRPr="00791FB8">
        <w:t>ndertaking data protection impact assessments (DPIA) where required</w:t>
      </w:r>
    </w:p>
    <w:p w14:paraId="7FCD669D" w14:textId="77777777" w:rsidR="00525207" w:rsidRPr="00791FB8" w:rsidRDefault="00525207" w:rsidP="004D40B9">
      <w:pPr>
        <w:pStyle w:val="ListBullet"/>
      </w:pPr>
      <w:r w:rsidRPr="00791FB8">
        <w:t xml:space="preserve">policies and procedures including a security incident management process </w:t>
      </w:r>
    </w:p>
    <w:p w14:paraId="05E6A487" w14:textId="77777777" w:rsidR="00525207" w:rsidRPr="00791FB8" w:rsidRDefault="00525207" w:rsidP="004D40B9">
      <w:pPr>
        <w:pStyle w:val="ListBullet"/>
      </w:pPr>
      <w:r w:rsidRPr="00791FB8">
        <w:t>contracts with third parties</w:t>
      </w:r>
      <w:r>
        <w:t>, and</w:t>
      </w:r>
    </w:p>
    <w:p w14:paraId="7C427C85" w14:textId="37988FDD" w:rsidR="00525207" w:rsidRPr="00791FB8" w:rsidRDefault="00525207" w:rsidP="004D40B9">
      <w:pPr>
        <w:pStyle w:val="ListBullet"/>
      </w:pPr>
      <w:proofErr w:type="gramStart"/>
      <w:r w:rsidRPr="00791FB8">
        <w:t>appointment</w:t>
      </w:r>
      <w:proofErr w:type="gramEnd"/>
      <w:r w:rsidRPr="00791FB8">
        <w:t xml:space="preserve"> of a </w:t>
      </w:r>
      <w:r w:rsidR="007D3F5B">
        <w:t>D</w:t>
      </w:r>
      <w:r w:rsidRPr="00791FB8">
        <w:t xml:space="preserve">ata </w:t>
      </w:r>
      <w:r w:rsidR="007D3F5B">
        <w:t>P</w:t>
      </w:r>
      <w:r w:rsidRPr="00791FB8">
        <w:t xml:space="preserve">rotection </w:t>
      </w:r>
      <w:r w:rsidR="007D3F5B">
        <w:t>O</w:t>
      </w:r>
      <w:r w:rsidRPr="00791FB8">
        <w:t>fficer</w:t>
      </w:r>
      <w:r>
        <w:t>.</w:t>
      </w:r>
    </w:p>
    <w:p w14:paraId="1DB00456" w14:textId="6622DA44" w:rsidR="00525207" w:rsidRPr="00791FB8" w:rsidRDefault="007D3F5B" w:rsidP="00525207">
      <w:r>
        <w:t>We</w:t>
      </w:r>
      <w:r w:rsidR="00525207" w:rsidRPr="00791FB8">
        <w:t xml:space="preserve"> will also ensure that </w:t>
      </w:r>
      <w:r>
        <w:t>we</w:t>
      </w:r>
      <w:r w:rsidR="00525207" w:rsidRPr="00791FB8">
        <w:t xml:space="preserve"> pay the required data protection fees to the </w:t>
      </w:r>
      <w:r w:rsidR="00E911CA">
        <w:t>Information Commissioner’s Office (</w:t>
      </w:r>
      <w:r w:rsidR="00525207" w:rsidRPr="00791FB8">
        <w:t>ICO</w:t>
      </w:r>
      <w:r w:rsidR="00E911CA">
        <w:t>)</w:t>
      </w:r>
      <w:r w:rsidR="00525207" w:rsidRPr="00791FB8">
        <w:t xml:space="preserve"> under the D</w:t>
      </w:r>
      <w:r w:rsidR="00525207">
        <w:t xml:space="preserve">ata </w:t>
      </w:r>
      <w:r w:rsidR="00525207" w:rsidRPr="00791FB8">
        <w:t>P</w:t>
      </w:r>
      <w:r w:rsidR="00525207">
        <w:t xml:space="preserve">rotection </w:t>
      </w:r>
      <w:r w:rsidR="00525207" w:rsidRPr="00791FB8">
        <w:t>A</w:t>
      </w:r>
      <w:r w:rsidR="00525207">
        <w:t>ct</w:t>
      </w:r>
      <w:r w:rsidR="00525207" w:rsidRPr="00791FB8">
        <w:t xml:space="preserve"> 2018.</w:t>
      </w:r>
    </w:p>
    <w:p w14:paraId="04A32133" w14:textId="77777777" w:rsidR="00525207" w:rsidRPr="004D40B9" w:rsidRDefault="00525207" w:rsidP="004D40B9">
      <w:pPr>
        <w:pStyle w:val="Heading2"/>
      </w:pPr>
      <w:bookmarkStart w:id="22" w:name="_Toc499545055"/>
      <w:bookmarkStart w:id="23" w:name="_Toc53504277"/>
      <w:r w:rsidRPr="004D40B9">
        <w:t>Information asset register and record of processing activities</w:t>
      </w:r>
      <w:bookmarkEnd w:id="22"/>
      <w:bookmarkEnd w:id="23"/>
    </w:p>
    <w:p w14:paraId="76FFC943" w14:textId="3CBBF5B8" w:rsidR="007D3F5B" w:rsidRDefault="00525207" w:rsidP="00525207">
      <w:r w:rsidRPr="00791FB8">
        <w:t xml:space="preserve">An IAR will be maintained containing details of what information </w:t>
      </w:r>
      <w:r w:rsidR="007D3F5B">
        <w:t>we</w:t>
      </w:r>
      <w:r w:rsidRPr="00791FB8">
        <w:t xml:space="preserve"> hold and how </w:t>
      </w:r>
      <w:r w:rsidR="007D3F5B">
        <w:t>we</w:t>
      </w:r>
      <w:r w:rsidRPr="00791FB8">
        <w:t xml:space="preserve"> compl</w:t>
      </w:r>
      <w:r w:rsidR="007D3F5B">
        <w:t>y</w:t>
      </w:r>
      <w:r w:rsidRPr="00791FB8">
        <w:t xml:space="preserve"> with the data protection principles in relation to that data. </w:t>
      </w:r>
    </w:p>
    <w:p w14:paraId="013D5FB9" w14:textId="0EF9FC02" w:rsidR="00525207" w:rsidRPr="00791FB8" w:rsidRDefault="007D3F5B" w:rsidP="00525207">
      <w:r>
        <w:t xml:space="preserve">The IAR incorporates the </w:t>
      </w:r>
      <w:r w:rsidR="00525207" w:rsidRPr="00791FB8">
        <w:t>record of processing activities (ROPA)</w:t>
      </w:r>
      <w:r w:rsidR="00436510">
        <w:t xml:space="preserve"> required under data protection legislation</w:t>
      </w:r>
      <w:r w:rsidR="00D3691F">
        <w:t>,</w:t>
      </w:r>
      <w:r w:rsidR="00525207" w:rsidRPr="00791FB8">
        <w:t xml:space="preserve"> </w:t>
      </w:r>
      <w:r>
        <w:t xml:space="preserve">which includes </w:t>
      </w:r>
      <w:r w:rsidR="00525207" w:rsidRPr="00791FB8">
        <w:t xml:space="preserve">information relating to all </w:t>
      </w:r>
      <w:r>
        <w:t xml:space="preserve">of our </w:t>
      </w:r>
      <w:r w:rsidR="00525207" w:rsidRPr="00791FB8">
        <w:t>data processing activities. The ROPA will be made available to the ICO upon request.</w:t>
      </w:r>
    </w:p>
    <w:p w14:paraId="2A8DE68B" w14:textId="77777777" w:rsidR="00525207" w:rsidRPr="004D40B9" w:rsidRDefault="00525207" w:rsidP="004D40B9">
      <w:pPr>
        <w:pStyle w:val="Heading2"/>
      </w:pPr>
      <w:bookmarkStart w:id="24" w:name="_Toc53504278"/>
      <w:r w:rsidRPr="004D40B9">
        <w:t>Data protection by design and by default</w:t>
      </w:r>
      <w:bookmarkEnd w:id="24"/>
    </w:p>
    <w:p w14:paraId="20D22E07" w14:textId="3D3495B1" w:rsidR="00525207" w:rsidRPr="00791FB8" w:rsidRDefault="007D3F5B" w:rsidP="00525207">
      <w:r>
        <w:t>We</w:t>
      </w:r>
      <w:r w:rsidR="00525207" w:rsidRPr="00791FB8">
        <w:t xml:space="preserve"> will take steps to ensure that new or changed data processing activities consider data protection principles as part of the activity design process. One of these measures is through </w:t>
      </w:r>
      <w:r w:rsidR="00525207">
        <w:t>d</w:t>
      </w:r>
      <w:r w:rsidR="00525207" w:rsidRPr="00791FB8">
        <w:t xml:space="preserve">ata </w:t>
      </w:r>
      <w:r w:rsidR="00525207">
        <w:t>p</w:t>
      </w:r>
      <w:r w:rsidR="00525207" w:rsidRPr="00791FB8">
        <w:t xml:space="preserve">rotection </w:t>
      </w:r>
      <w:r w:rsidR="00525207">
        <w:t>i</w:t>
      </w:r>
      <w:r w:rsidR="00525207" w:rsidRPr="00791FB8">
        <w:t xml:space="preserve">mpact </w:t>
      </w:r>
      <w:r w:rsidR="00525207">
        <w:t>a</w:t>
      </w:r>
      <w:r w:rsidR="00525207" w:rsidRPr="00791FB8">
        <w:t>ssessments.</w:t>
      </w:r>
    </w:p>
    <w:p w14:paraId="3A3C851E" w14:textId="255F78AD" w:rsidR="00525207" w:rsidRPr="00791FB8" w:rsidRDefault="007D3F5B" w:rsidP="00525207">
      <w:pPr>
        <w:rPr>
          <w:b/>
          <w:bCs/>
          <w:szCs w:val="26"/>
        </w:rPr>
      </w:pPr>
      <w:r>
        <w:t>We</w:t>
      </w:r>
      <w:r w:rsidR="00525207" w:rsidRPr="00791FB8">
        <w:t xml:space="preserve"> will ensure that the default position of activities relating to data processing is to protect the privacy and data protection rights of individuals, </w:t>
      </w:r>
      <w:r w:rsidR="00525207">
        <w:t>for example,</w:t>
      </w:r>
      <w:r w:rsidR="00525207" w:rsidRPr="00791FB8">
        <w:t xml:space="preserve"> by restricting access. </w:t>
      </w:r>
      <w:bookmarkStart w:id="25" w:name="_Toc499545056"/>
    </w:p>
    <w:p w14:paraId="3ECBA56E" w14:textId="2B601A87" w:rsidR="00525207" w:rsidRPr="004D40B9" w:rsidRDefault="00525207" w:rsidP="004D40B9">
      <w:pPr>
        <w:pStyle w:val="Heading2"/>
      </w:pPr>
      <w:bookmarkStart w:id="26" w:name="_Toc53504279"/>
      <w:r w:rsidRPr="004D40B9">
        <w:lastRenderedPageBreak/>
        <w:t>Data protection impact assessments</w:t>
      </w:r>
      <w:bookmarkEnd w:id="25"/>
      <w:bookmarkEnd w:id="26"/>
    </w:p>
    <w:p w14:paraId="259640BC" w14:textId="2A06C4B4" w:rsidR="00525207" w:rsidRPr="00791FB8" w:rsidRDefault="007D3F5B" w:rsidP="00525207">
      <w:r>
        <w:t>We</w:t>
      </w:r>
      <w:r w:rsidR="00525207" w:rsidRPr="00791FB8">
        <w:t xml:space="preserve"> will carry out </w:t>
      </w:r>
      <w:r w:rsidR="00525207">
        <w:t>DPIAs</w:t>
      </w:r>
      <w:r w:rsidR="00525207" w:rsidRPr="00791FB8">
        <w:t xml:space="preserve"> as and when required. </w:t>
      </w:r>
    </w:p>
    <w:p w14:paraId="103E22A0" w14:textId="60B500EF" w:rsidR="00525207" w:rsidRPr="00791FB8" w:rsidRDefault="00525207" w:rsidP="00525207">
      <w:r w:rsidRPr="00791FB8">
        <w:t>DPIAs will set out the details of the data processing activity and include an assessment of the risks posed to individuals. Where risks arise</w:t>
      </w:r>
      <w:r>
        <w:t>,</w:t>
      </w:r>
      <w:r w:rsidRPr="00791FB8">
        <w:t xml:space="preserve"> </w:t>
      </w:r>
      <w:r w:rsidR="007D3F5B">
        <w:t>we</w:t>
      </w:r>
      <w:r w:rsidRPr="00791FB8">
        <w:t xml:space="preserve"> will put in place measures and safeguards to minimise these risks</w:t>
      </w:r>
      <w:r w:rsidR="00E911CA">
        <w:t>.</w:t>
      </w:r>
    </w:p>
    <w:p w14:paraId="3AC2FBB0" w14:textId="77777777" w:rsidR="00525207" w:rsidRPr="00791FB8" w:rsidRDefault="00525207" w:rsidP="004D40B9">
      <w:pPr>
        <w:pStyle w:val="Heading2"/>
      </w:pPr>
      <w:bookmarkStart w:id="27" w:name="_Toc53504280"/>
      <w:r w:rsidRPr="00791FB8">
        <w:t>Policies and procedures including security incident management</w:t>
      </w:r>
      <w:bookmarkEnd w:id="27"/>
      <w:r w:rsidRPr="00791FB8">
        <w:t xml:space="preserve"> </w:t>
      </w:r>
    </w:p>
    <w:p w14:paraId="653E652E" w14:textId="2FADB8BF" w:rsidR="00525207" w:rsidRPr="00791FB8" w:rsidRDefault="007D3F5B" w:rsidP="00525207">
      <w:r>
        <w:t>We</w:t>
      </w:r>
      <w:r w:rsidR="00525207" w:rsidRPr="00791FB8">
        <w:t xml:space="preserve"> will put in place policies and procedures to ensure compliance with </w:t>
      </w:r>
      <w:r w:rsidR="00436510">
        <w:t>data protection legislation</w:t>
      </w:r>
      <w:r w:rsidR="00525207" w:rsidRPr="00791FB8">
        <w:t xml:space="preserve">. This will include a security incident management process. </w:t>
      </w:r>
    </w:p>
    <w:p w14:paraId="25BC722D" w14:textId="4C44E0DB" w:rsidR="00525207" w:rsidRPr="00791FB8" w:rsidRDefault="00525207" w:rsidP="00525207">
      <w:r w:rsidRPr="00791FB8">
        <w:t xml:space="preserve">In the event of a personal data breach, </w:t>
      </w:r>
      <w:r w:rsidR="007D3F5B">
        <w:t>we</w:t>
      </w:r>
      <w:r w:rsidRPr="00791FB8">
        <w:t xml:space="preserve"> will respond </w:t>
      </w:r>
      <w:r w:rsidR="007D3F5B">
        <w:t>promptly,</w:t>
      </w:r>
      <w:r w:rsidRPr="00791FB8">
        <w:t xml:space="preserve"> and will notify the ICO within 72 hours of becoming aware of the breach unless it is unlikely to result in a risk to individuals. Where notification of breach is not made within 72 hours, </w:t>
      </w:r>
      <w:r w:rsidR="007D3F5B">
        <w:t>we</w:t>
      </w:r>
      <w:r w:rsidRPr="00791FB8">
        <w:t xml:space="preserve"> will provide a reasonable justification for the delay. </w:t>
      </w:r>
      <w:r w:rsidR="007D3F5B">
        <w:t>We</w:t>
      </w:r>
      <w:r w:rsidRPr="00791FB8">
        <w:t xml:space="preserve"> will also have due consideration as to whether it is appropriate or required to notify data subjects of the breach.</w:t>
      </w:r>
    </w:p>
    <w:p w14:paraId="4974E15E" w14:textId="0D42836F" w:rsidR="00525207" w:rsidRPr="00791FB8" w:rsidRDefault="00525207" w:rsidP="00525207">
      <w:r w:rsidRPr="00791FB8">
        <w:t xml:space="preserve">Where </w:t>
      </w:r>
      <w:r w:rsidR="007D3F5B">
        <w:t>we</w:t>
      </w:r>
      <w:r w:rsidRPr="00791FB8">
        <w:t xml:space="preserve"> process special category data or data relating to criminal convictions or </w:t>
      </w:r>
      <w:r w:rsidR="007D3F5B">
        <w:t>offence</w:t>
      </w:r>
      <w:r w:rsidRPr="00791FB8">
        <w:t>s</w:t>
      </w:r>
      <w:r>
        <w:t>,</w:t>
      </w:r>
      <w:r w:rsidRPr="00791FB8">
        <w:t xml:space="preserve"> </w:t>
      </w:r>
      <w:r w:rsidR="00FB2388">
        <w:t>we</w:t>
      </w:r>
      <w:r w:rsidRPr="00791FB8">
        <w:t xml:space="preserve"> will have an appropriate policy document in place as set out in the Data Protection Act 2018.</w:t>
      </w:r>
    </w:p>
    <w:p w14:paraId="23F6B5C2" w14:textId="77777777" w:rsidR="00525207" w:rsidRPr="004D40B9" w:rsidRDefault="00525207" w:rsidP="004D40B9">
      <w:pPr>
        <w:pStyle w:val="Heading2"/>
      </w:pPr>
      <w:bookmarkStart w:id="28" w:name="_Toc53504281"/>
      <w:r w:rsidRPr="004D40B9">
        <w:t>Contracts with third parties</w:t>
      </w:r>
      <w:bookmarkEnd w:id="28"/>
    </w:p>
    <w:p w14:paraId="4AA78873" w14:textId="6509A002" w:rsidR="00525207" w:rsidRPr="00791FB8" w:rsidRDefault="00525207" w:rsidP="00525207">
      <w:r w:rsidRPr="00791FB8">
        <w:t xml:space="preserve">There will be instances where </w:t>
      </w:r>
      <w:r w:rsidR="005D0B10">
        <w:t>we</w:t>
      </w:r>
      <w:r w:rsidRPr="00791FB8">
        <w:t xml:space="preserve"> work with third parties in relation to the processing of personal data.</w:t>
      </w:r>
      <w:r w:rsidR="006D3509">
        <w:t xml:space="preserve">                         </w:t>
      </w:r>
    </w:p>
    <w:p w14:paraId="182A8DBB" w14:textId="7DC2C0E6" w:rsidR="00525207" w:rsidRPr="00791FB8" w:rsidRDefault="00525207" w:rsidP="00525207">
      <w:r w:rsidRPr="00791FB8">
        <w:t xml:space="preserve">When </w:t>
      </w:r>
      <w:r w:rsidR="005D0B10">
        <w:t>we</w:t>
      </w:r>
      <w:r w:rsidRPr="00791FB8">
        <w:t xml:space="preserve"> use data processors to process personal data, </w:t>
      </w:r>
      <w:r w:rsidR="005D0B10">
        <w:t xml:space="preserve">we </w:t>
      </w:r>
      <w:r w:rsidRPr="00791FB8">
        <w:t>wi</w:t>
      </w:r>
      <w:r>
        <w:t>ll</w:t>
      </w:r>
      <w:r w:rsidRPr="00791FB8">
        <w:t xml:space="preserve"> ensure an appropriate contract or data processing agreement is in place to </w:t>
      </w:r>
      <w:r w:rsidR="005D0B10">
        <w:t>direct</w:t>
      </w:r>
      <w:r w:rsidRPr="00791FB8">
        <w:t xml:space="preserve"> third parties </w:t>
      </w:r>
      <w:r w:rsidR="005D0B10">
        <w:t xml:space="preserve">to </w:t>
      </w:r>
      <w:r w:rsidRPr="00791FB8">
        <w:t xml:space="preserve">only process the data </w:t>
      </w:r>
      <w:r w:rsidR="005D0B10">
        <w:t xml:space="preserve">according to our </w:t>
      </w:r>
      <w:r w:rsidRPr="00791FB8">
        <w:t>documented instructions</w:t>
      </w:r>
      <w:r>
        <w:t>,</w:t>
      </w:r>
      <w:r w:rsidRPr="00791FB8">
        <w:t xml:space="preserve"> unless required otherwise by law. </w:t>
      </w:r>
      <w:r w:rsidR="005D0B10">
        <w:t>We</w:t>
      </w:r>
      <w:r w:rsidRPr="00791FB8">
        <w:t xml:space="preserve"> will only work with data processors that can demonstrate security appropriate to the risk associated with the type of data they will be processing. </w:t>
      </w:r>
      <w:r w:rsidR="005D0B10">
        <w:t>We</w:t>
      </w:r>
      <w:r w:rsidRPr="00791FB8">
        <w:t xml:space="preserve"> will ensure that </w:t>
      </w:r>
      <w:r w:rsidR="005D0B10">
        <w:t>our</w:t>
      </w:r>
      <w:r w:rsidRPr="00791FB8">
        <w:t xml:space="preserve"> data processors provide information necessary to demonstrate compliance with their obligations under </w:t>
      </w:r>
      <w:r w:rsidR="00436510">
        <w:t>data protection legislation</w:t>
      </w:r>
      <w:r w:rsidRPr="00791FB8">
        <w:t>.</w:t>
      </w:r>
    </w:p>
    <w:p w14:paraId="338BEC44" w14:textId="7BD915FF" w:rsidR="00525207" w:rsidRPr="00791FB8" w:rsidRDefault="00525207" w:rsidP="00525207">
      <w:r w:rsidRPr="00791FB8">
        <w:lastRenderedPageBreak/>
        <w:t xml:space="preserve">Where </w:t>
      </w:r>
      <w:r w:rsidR="005D0B10">
        <w:t>we</w:t>
      </w:r>
      <w:r w:rsidRPr="00791FB8">
        <w:t xml:space="preserve"> work collaboratively or jointly with other organisations, </w:t>
      </w:r>
      <w:r w:rsidR="00D3691F">
        <w:t>we</w:t>
      </w:r>
      <w:r w:rsidRPr="00791FB8">
        <w:t xml:space="preserve"> will ensure that an appropriate agreement is in place to ensure data protection and security, for example</w:t>
      </w:r>
      <w:r>
        <w:t>,</w:t>
      </w:r>
      <w:r w:rsidRPr="00791FB8">
        <w:t xml:space="preserve"> through a data sharing agreement.</w:t>
      </w:r>
    </w:p>
    <w:p w14:paraId="19F3C26C" w14:textId="77777777" w:rsidR="00525207" w:rsidRPr="004D40B9" w:rsidRDefault="00525207" w:rsidP="004D40B9">
      <w:pPr>
        <w:pStyle w:val="Heading2"/>
      </w:pPr>
      <w:bookmarkStart w:id="29" w:name="_Toc499545059"/>
      <w:bookmarkStart w:id="30" w:name="_Toc53504282"/>
      <w:r w:rsidRPr="004D40B9">
        <w:t>Appointment of a data protection officer (DPO)</w:t>
      </w:r>
      <w:bookmarkEnd w:id="29"/>
      <w:bookmarkEnd w:id="30"/>
      <w:r w:rsidRPr="004D40B9">
        <w:t xml:space="preserve"> </w:t>
      </w:r>
    </w:p>
    <w:p w14:paraId="37767B48" w14:textId="625D0A88" w:rsidR="00525207" w:rsidRPr="00791FB8" w:rsidRDefault="00525207" w:rsidP="00525207">
      <w:r w:rsidRPr="00791FB8">
        <w:t xml:space="preserve">As a non-departmental public body, </w:t>
      </w:r>
      <w:r w:rsidR="00436510">
        <w:t>we are</w:t>
      </w:r>
      <w:r w:rsidRPr="00791FB8">
        <w:t xml:space="preserve"> required to appoint a DPO to advise </w:t>
      </w:r>
      <w:r w:rsidR="00436510">
        <w:t>on our</w:t>
      </w:r>
      <w:r w:rsidRPr="00791FB8">
        <w:t xml:space="preserve"> obligation</w:t>
      </w:r>
      <w:r w:rsidR="00436510">
        <w:t>s</w:t>
      </w:r>
      <w:r w:rsidRPr="00791FB8">
        <w:t xml:space="preserve"> under data protection </w:t>
      </w:r>
      <w:r w:rsidR="00436510">
        <w:t>legislation</w:t>
      </w:r>
      <w:r w:rsidRPr="00791FB8">
        <w:t xml:space="preserve">. The DPO is responsible for advising the organisation; raising awareness and training staff; monitoring compliance with data protection laws and internal data protection related policies, and related audits; the assignment of responsibilities; advising on the need for, completion of, and approach to DPIAs; </w:t>
      </w:r>
      <w:r>
        <w:t xml:space="preserve">and </w:t>
      </w:r>
      <w:r w:rsidRPr="00791FB8">
        <w:t>act</w:t>
      </w:r>
      <w:r>
        <w:t>ing</w:t>
      </w:r>
      <w:r w:rsidRPr="00791FB8">
        <w:t xml:space="preserve"> as the point of contact with the Information Commissioner’s Office (ICO).</w:t>
      </w:r>
    </w:p>
    <w:p w14:paraId="57644F06" w14:textId="2669FF1D" w:rsidR="00525207" w:rsidRPr="00791FB8" w:rsidRDefault="00525207" w:rsidP="00525207">
      <w:r w:rsidRPr="00791FB8">
        <w:t xml:space="preserve">When </w:t>
      </w:r>
      <w:r w:rsidR="00436510">
        <w:t xml:space="preserve">providing </w:t>
      </w:r>
      <w:r w:rsidRPr="00791FB8">
        <w:t>advi</w:t>
      </w:r>
      <w:r w:rsidR="00436510">
        <w:t>ce</w:t>
      </w:r>
      <w:r>
        <w:t>,</w:t>
      </w:r>
      <w:r w:rsidRPr="00791FB8">
        <w:t xml:space="preserve"> the DPO will have due consideration to the risk associated with data processing activities, taking into account their nature, scope, context and purpose.</w:t>
      </w:r>
    </w:p>
    <w:p w14:paraId="3E38792A" w14:textId="4B6CD11A" w:rsidR="00525207" w:rsidRPr="00791FB8" w:rsidRDefault="00525207" w:rsidP="00525207">
      <w:r w:rsidRPr="00791FB8">
        <w:t xml:space="preserve">The DPO will be also be available to data subjects with regards to </w:t>
      </w:r>
      <w:r w:rsidR="00436510">
        <w:t xml:space="preserve">our </w:t>
      </w:r>
      <w:r w:rsidRPr="00791FB8">
        <w:t>processing of their data.</w:t>
      </w:r>
    </w:p>
    <w:p w14:paraId="178D0DE3" w14:textId="289EBCEC" w:rsidR="00525207" w:rsidRPr="00791FB8" w:rsidRDefault="00436510" w:rsidP="00525207">
      <w:r>
        <w:t>We</w:t>
      </w:r>
      <w:r w:rsidR="00525207" w:rsidRPr="00791FB8">
        <w:t xml:space="preserve"> will provide the ICO with the name and contact details of the DPO.</w:t>
      </w:r>
    </w:p>
    <w:p w14:paraId="195A77D6" w14:textId="77777777" w:rsidR="00525207" w:rsidRDefault="00525207" w:rsidP="004D40B9">
      <w:pPr>
        <w:pStyle w:val="Heading1"/>
      </w:pPr>
      <w:bookmarkStart w:id="31" w:name="_Toc499545060"/>
      <w:bookmarkStart w:id="32" w:name="_Toc511208715"/>
      <w:bookmarkStart w:id="33" w:name="_Toc53504283"/>
      <w:r>
        <w:lastRenderedPageBreak/>
        <w:t>Part 4: The rights of data subjects</w:t>
      </w:r>
      <w:bookmarkEnd w:id="31"/>
      <w:bookmarkEnd w:id="32"/>
      <w:bookmarkEnd w:id="33"/>
    </w:p>
    <w:p w14:paraId="3EB41353" w14:textId="78228AEA" w:rsidR="00525207" w:rsidRDefault="00926204" w:rsidP="00525207">
      <w:r>
        <w:t>We</w:t>
      </w:r>
      <w:r w:rsidR="00525207" w:rsidRPr="0034473D">
        <w:t xml:space="preserve"> will process all personal data in line with data subje</w:t>
      </w:r>
      <w:r w:rsidR="00525207">
        <w:t xml:space="preserve">cts’ rights. Data subjects </w:t>
      </w:r>
      <w:r w:rsidR="00525207" w:rsidRPr="0034473D">
        <w:t>includ</w:t>
      </w:r>
      <w:r w:rsidR="00525207">
        <w:t xml:space="preserve">e, but are not limited to, members of the public, staff (past and present), </w:t>
      </w:r>
      <w:r w:rsidR="00525207" w:rsidRPr="0034473D">
        <w:t xml:space="preserve">Board and </w:t>
      </w:r>
      <w:r w:rsidR="00525207">
        <w:t>c</w:t>
      </w:r>
      <w:r w:rsidR="00525207" w:rsidRPr="0034473D">
        <w:t>ommittee members</w:t>
      </w:r>
      <w:r w:rsidR="00525207">
        <w:t xml:space="preserve"> and others </w:t>
      </w:r>
      <w:r w:rsidR="00525207" w:rsidRPr="0034473D">
        <w:t xml:space="preserve">who have dealings with </w:t>
      </w:r>
      <w:r>
        <w:t>us</w:t>
      </w:r>
      <w:r w:rsidR="00525207">
        <w:t>.</w:t>
      </w:r>
      <w:r w:rsidR="00525207" w:rsidRPr="0034473D">
        <w:t xml:space="preserve"> </w:t>
      </w:r>
    </w:p>
    <w:p w14:paraId="1D56350A" w14:textId="664DF928" w:rsidR="00525207" w:rsidRPr="00791FB8" w:rsidRDefault="00525207" w:rsidP="00525207">
      <w:r>
        <w:t xml:space="preserve">The </w:t>
      </w:r>
      <w:r w:rsidR="00E66325">
        <w:t xml:space="preserve">UK </w:t>
      </w:r>
      <w:r>
        <w:t>GDPR</w:t>
      </w:r>
      <w:r w:rsidRPr="0034473D">
        <w:t xml:space="preserve"> gives </w:t>
      </w:r>
      <w:r>
        <w:t xml:space="preserve">certain </w:t>
      </w:r>
      <w:r w:rsidRPr="0034473D">
        <w:t>rights to individuals i</w:t>
      </w:r>
      <w:r>
        <w:t xml:space="preserve">n respect of personal data that </w:t>
      </w:r>
      <w:r w:rsidR="00926204">
        <w:t>we</w:t>
      </w:r>
      <w:r>
        <w:t xml:space="preserve"> </w:t>
      </w:r>
      <w:r w:rsidRPr="00791FB8">
        <w:t>hold about them. These rights are:</w:t>
      </w:r>
    </w:p>
    <w:p w14:paraId="0F3D8AF7" w14:textId="078E011D" w:rsidR="00525207" w:rsidRPr="00A73344" w:rsidRDefault="00525207" w:rsidP="00F9713D">
      <w:pPr>
        <w:pStyle w:val="ListBullet"/>
        <w:numPr>
          <w:ilvl w:val="0"/>
          <w:numId w:val="17"/>
        </w:numPr>
      </w:pPr>
      <w:r w:rsidRPr="00791FB8">
        <w:t>the right to be informed</w:t>
      </w:r>
      <w:r w:rsidR="00926204">
        <w:t>;</w:t>
      </w:r>
    </w:p>
    <w:p w14:paraId="4708E066" w14:textId="0872A940" w:rsidR="00525207" w:rsidRPr="00A73344" w:rsidRDefault="00525207" w:rsidP="00F9713D">
      <w:pPr>
        <w:pStyle w:val="ListBullet"/>
        <w:numPr>
          <w:ilvl w:val="0"/>
          <w:numId w:val="17"/>
        </w:numPr>
      </w:pPr>
      <w:r w:rsidRPr="00791FB8">
        <w:t>the right of subject access</w:t>
      </w:r>
      <w:r w:rsidR="00926204">
        <w:t>;</w:t>
      </w:r>
    </w:p>
    <w:p w14:paraId="3A958B83" w14:textId="7B16DD6A" w:rsidR="00525207" w:rsidRPr="00A73344" w:rsidRDefault="00525207" w:rsidP="00F9713D">
      <w:pPr>
        <w:pStyle w:val="ListBullet"/>
        <w:numPr>
          <w:ilvl w:val="0"/>
          <w:numId w:val="17"/>
        </w:numPr>
      </w:pPr>
      <w:r w:rsidRPr="00791FB8">
        <w:t>the right to rectification</w:t>
      </w:r>
      <w:r w:rsidR="00926204">
        <w:t>;</w:t>
      </w:r>
    </w:p>
    <w:p w14:paraId="1615EDFE" w14:textId="6D6E543E" w:rsidR="00525207" w:rsidRPr="00A73344" w:rsidRDefault="00525207" w:rsidP="00F9713D">
      <w:pPr>
        <w:pStyle w:val="ListBullet"/>
        <w:numPr>
          <w:ilvl w:val="0"/>
          <w:numId w:val="17"/>
        </w:numPr>
      </w:pPr>
      <w:r w:rsidRPr="00791FB8">
        <w:t>the right to data erasure</w:t>
      </w:r>
      <w:r w:rsidR="00926204">
        <w:t>;</w:t>
      </w:r>
    </w:p>
    <w:p w14:paraId="6257F519" w14:textId="559A55A6" w:rsidR="00525207" w:rsidRPr="00A73344" w:rsidRDefault="00525207" w:rsidP="00F9713D">
      <w:pPr>
        <w:pStyle w:val="ListBullet"/>
        <w:numPr>
          <w:ilvl w:val="0"/>
          <w:numId w:val="17"/>
        </w:numPr>
      </w:pPr>
      <w:r w:rsidRPr="00791FB8">
        <w:t>the right to restrict processing</w:t>
      </w:r>
      <w:r w:rsidR="00926204">
        <w:t>;</w:t>
      </w:r>
    </w:p>
    <w:p w14:paraId="6362B964" w14:textId="280DFFB4" w:rsidR="00525207" w:rsidRPr="00A73344" w:rsidRDefault="00525207" w:rsidP="00F9713D">
      <w:pPr>
        <w:pStyle w:val="ListBullet"/>
        <w:numPr>
          <w:ilvl w:val="0"/>
          <w:numId w:val="17"/>
        </w:numPr>
      </w:pPr>
      <w:r w:rsidRPr="00791FB8">
        <w:t>the right to data portability</w:t>
      </w:r>
      <w:r w:rsidR="00926204">
        <w:t>;</w:t>
      </w:r>
    </w:p>
    <w:p w14:paraId="5D6F0E16" w14:textId="585C5F94" w:rsidR="00525207" w:rsidRPr="00A73344" w:rsidRDefault="00525207" w:rsidP="00F9713D">
      <w:pPr>
        <w:pStyle w:val="ListBullet"/>
        <w:numPr>
          <w:ilvl w:val="0"/>
          <w:numId w:val="17"/>
        </w:numPr>
      </w:pPr>
      <w:r w:rsidRPr="00791FB8">
        <w:t>the right to objection</w:t>
      </w:r>
      <w:r w:rsidR="00926204">
        <w:t>;</w:t>
      </w:r>
      <w:r w:rsidRPr="00791FB8">
        <w:t xml:space="preserve"> and</w:t>
      </w:r>
    </w:p>
    <w:p w14:paraId="087C5D41" w14:textId="0F66B213" w:rsidR="00525207" w:rsidRDefault="00525207" w:rsidP="00F9713D">
      <w:pPr>
        <w:pStyle w:val="ListBullet"/>
        <w:numPr>
          <w:ilvl w:val="0"/>
          <w:numId w:val="17"/>
        </w:numPr>
      </w:pPr>
      <w:proofErr w:type="gramStart"/>
      <w:r w:rsidRPr="00791FB8">
        <w:t>rights</w:t>
      </w:r>
      <w:proofErr w:type="gramEnd"/>
      <w:r w:rsidRPr="00791FB8">
        <w:t xml:space="preserve"> with respect to automated decision-making and profiling.</w:t>
      </w:r>
    </w:p>
    <w:p w14:paraId="04363D1F" w14:textId="7EE15D8B" w:rsidR="00796F96" w:rsidRDefault="00796F96" w:rsidP="00D31364">
      <w:pPr>
        <w:pStyle w:val="ListBullet"/>
        <w:numPr>
          <w:ilvl w:val="0"/>
          <w:numId w:val="0"/>
        </w:numPr>
      </w:pPr>
    </w:p>
    <w:p w14:paraId="26CE9203" w14:textId="39DDA7E6" w:rsidR="00796F96" w:rsidRDefault="00796F96" w:rsidP="00D31364">
      <w:pPr>
        <w:pStyle w:val="ListBullet"/>
        <w:numPr>
          <w:ilvl w:val="0"/>
          <w:numId w:val="0"/>
        </w:numPr>
      </w:pPr>
      <w:r>
        <w:t xml:space="preserve">A request can be made verbally or in writing, including via social media, it does not have to cite ‘data protection’ or the name of the right that the person is using, and the request can be made to any person or business area. </w:t>
      </w:r>
      <w:r w:rsidR="00926204">
        <w:t>All staff will be</w:t>
      </w:r>
      <w:r>
        <w:t xml:space="preserve"> reminded of the rights during mandatory annual training to assist them in recognising when a request is being made. </w:t>
      </w:r>
    </w:p>
    <w:p w14:paraId="077EED56" w14:textId="77777777" w:rsidR="00CB7209" w:rsidRDefault="00CB7209" w:rsidP="00D31364">
      <w:pPr>
        <w:pStyle w:val="ListBullet"/>
        <w:numPr>
          <w:ilvl w:val="0"/>
          <w:numId w:val="0"/>
        </w:numPr>
      </w:pPr>
    </w:p>
    <w:p w14:paraId="3BE4481E" w14:textId="344464CE" w:rsidR="00BA7DCD" w:rsidRDefault="00CB7209" w:rsidP="00D31364">
      <w:pPr>
        <w:pStyle w:val="ListBullet"/>
        <w:numPr>
          <w:ilvl w:val="0"/>
          <w:numId w:val="0"/>
        </w:numPr>
      </w:pPr>
      <w:r>
        <w:t xml:space="preserve">We will respond to individual rights requests submitted by data subjects within one month of receipt, but this can be extended by up to two months in the case of complex and / or numerous requests. In such cases the data subject will be informed of the need for the extension. </w:t>
      </w:r>
    </w:p>
    <w:p w14:paraId="26123260" w14:textId="17BA382D" w:rsidR="00525207" w:rsidRPr="004D40B9" w:rsidRDefault="00525207" w:rsidP="004D40B9">
      <w:pPr>
        <w:pStyle w:val="Heading2"/>
      </w:pPr>
      <w:bookmarkStart w:id="34" w:name="_Toc499545061"/>
      <w:bookmarkStart w:id="35" w:name="_Toc53504284"/>
      <w:r w:rsidRPr="004D40B9">
        <w:t>Right to be informed</w:t>
      </w:r>
      <w:bookmarkEnd w:id="34"/>
      <w:bookmarkEnd w:id="35"/>
    </w:p>
    <w:p w14:paraId="2323435A" w14:textId="77777777" w:rsidR="00525207" w:rsidRPr="00791FB8" w:rsidRDefault="00525207" w:rsidP="00525207">
      <w:r w:rsidRPr="00791FB8">
        <w:t>Data subjects have a right to be informed on how their data is being processed and this is normally referred to as a privacy notice.</w:t>
      </w:r>
    </w:p>
    <w:p w14:paraId="1ADB8932" w14:textId="06C12C22" w:rsidR="00525207" w:rsidRPr="00791FB8" w:rsidRDefault="003001EA" w:rsidP="00525207">
      <w:r>
        <w:t>We</w:t>
      </w:r>
      <w:r w:rsidR="00525207" w:rsidRPr="00791FB8">
        <w:t xml:space="preserve"> will publish, or make available, </w:t>
      </w:r>
      <w:r>
        <w:t xml:space="preserve">transparent and easily accessible </w:t>
      </w:r>
      <w:r w:rsidR="00525207" w:rsidRPr="00791FB8">
        <w:t>privacy notices to data subjects in line with the right to be informed</w:t>
      </w:r>
      <w:r w:rsidR="00935C2D">
        <w:t>.</w:t>
      </w:r>
    </w:p>
    <w:p w14:paraId="732B1129" w14:textId="77777777" w:rsidR="00525207" w:rsidRPr="004D40B9" w:rsidRDefault="00525207" w:rsidP="004D40B9">
      <w:pPr>
        <w:pStyle w:val="Heading2"/>
      </w:pPr>
      <w:bookmarkStart w:id="36" w:name="_Toc499545063"/>
      <w:bookmarkStart w:id="37" w:name="_Toc53504285"/>
      <w:r w:rsidRPr="004D40B9">
        <w:lastRenderedPageBreak/>
        <w:t>Right of subject access</w:t>
      </w:r>
      <w:bookmarkEnd w:id="36"/>
      <w:bookmarkEnd w:id="37"/>
      <w:r w:rsidRPr="004D40B9">
        <w:t xml:space="preserve">  </w:t>
      </w:r>
    </w:p>
    <w:p w14:paraId="563E5578" w14:textId="285A03E1" w:rsidR="00525207" w:rsidRPr="00791FB8" w:rsidRDefault="00525207" w:rsidP="00525207">
      <w:r w:rsidRPr="00791FB8">
        <w:t xml:space="preserve">A data subject may make a subject access request (SAR) at any time to find out what personal data </w:t>
      </w:r>
      <w:r w:rsidR="003001EA">
        <w:t>we</w:t>
      </w:r>
      <w:r w:rsidRPr="00791FB8">
        <w:t xml:space="preserve"> hold about them and obtain a copy of that data. </w:t>
      </w:r>
      <w:r w:rsidR="00BA7DCD">
        <w:t xml:space="preserve"> </w:t>
      </w:r>
    </w:p>
    <w:p w14:paraId="3061B4EF" w14:textId="40B6F2A2" w:rsidR="00525207" w:rsidRPr="00791FB8" w:rsidRDefault="003001EA" w:rsidP="00525207">
      <w:r>
        <w:t>We</w:t>
      </w:r>
      <w:r w:rsidR="00525207" w:rsidRPr="00791FB8">
        <w:t xml:space="preserve"> will not charge a fee for the handling of normal SARs but reserve the right to charge reasonable fees for additional copies of information that has already been supplied to a data subject, and for requests that are manifestly unfounded or excessive, particularly where such requests are repetitive.</w:t>
      </w:r>
    </w:p>
    <w:p w14:paraId="2F671495" w14:textId="615F114E" w:rsidR="00525207" w:rsidRPr="00791FB8" w:rsidRDefault="00525207" w:rsidP="00525207">
      <w:r w:rsidRPr="00791FB8">
        <w:t xml:space="preserve">There may be instances where </w:t>
      </w:r>
      <w:r w:rsidR="003001EA">
        <w:t>we</w:t>
      </w:r>
      <w:r w:rsidRPr="00791FB8">
        <w:t xml:space="preserve"> appl</w:t>
      </w:r>
      <w:r w:rsidR="003001EA">
        <w:t>y</w:t>
      </w:r>
      <w:r w:rsidRPr="00791FB8">
        <w:t xml:space="preserve"> exemptions to the release of certain data, for example</w:t>
      </w:r>
      <w:r>
        <w:t>,</w:t>
      </w:r>
      <w:r w:rsidRPr="00791FB8">
        <w:t xml:space="preserve"> data relating to a third party, </w:t>
      </w:r>
      <w:r w:rsidR="00935B10">
        <w:t xml:space="preserve">or we may refuse to provide information if a request is manifestly unfounded or excessive. </w:t>
      </w:r>
    </w:p>
    <w:p w14:paraId="208D7737" w14:textId="77777777" w:rsidR="00525207" w:rsidRPr="004D40B9" w:rsidRDefault="00525207" w:rsidP="004D40B9">
      <w:pPr>
        <w:pStyle w:val="Heading2"/>
      </w:pPr>
      <w:bookmarkStart w:id="38" w:name="_Toc499545064"/>
      <w:bookmarkStart w:id="39" w:name="_Toc53504286"/>
      <w:r w:rsidRPr="004D40B9">
        <w:t>Right to rectification</w:t>
      </w:r>
      <w:bookmarkEnd w:id="38"/>
      <w:bookmarkEnd w:id="39"/>
      <w:r w:rsidRPr="004D40B9">
        <w:t xml:space="preserve"> </w:t>
      </w:r>
    </w:p>
    <w:p w14:paraId="6E233FB6" w14:textId="4EF8E766" w:rsidR="00525207" w:rsidRPr="00791FB8" w:rsidRDefault="00525207" w:rsidP="00525207">
      <w:r w:rsidRPr="00791FB8">
        <w:t xml:space="preserve">If a data subject informs </w:t>
      </w:r>
      <w:r w:rsidR="00796F96">
        <w:t>us</w:t>
      </w:r>
      <w:r w:rsidRPr="00791FB8">
        <w:t xml:space="preserve"> that the personal data </w:t>
      </w:r>
      <w:r w:rsidR="00926204">
        <w:t xml:space="preserve">we hold about them </w:t>
      </w:r>
      <w:r w:rsidRPr="00791FB8">
        <w:t>is inaccurate or incomplete, requesting that it be rectified, the personal data in question will be rectified, and the data subject informed of that rectification</w:t>
      </w:r>
      <w:r w:rsidR="00BA7DCD">
        <w:t>.</w:t>
      </w:r>
    </w:p>
    <w:p w14:paraId="595014F0" w14:textId="77777777" w:rsidR="00525207" w:rsidRPr="00791FB8" w:rsidRDefault="00525207" w:rsidP="00525207">
      <w:r w:rsidRPr="00791FB8">
        <w:t>In the event that any affected personal data has been disclosed to third parties, those parties will be informed of any rectification of that personal data.</w:t>
      </w:r>
    </w:p>
    <w:p w14:paraId="704023B6" w14:textId="77777777" w:rsidR="00525207" w:rsidRPr="00791FB8" w:rsidRDefault="00525207" w:rsidP="00525207">
      <w:r w:rsidRPr="00791FB8">
        <w:t>This right will be complied with in so far as it applies in law to the particular circumstances of the case.</w:t>
      </w:r>
    </w:p>
    <w:p w14:paraId="67A6E5DD" w14:textId="77777777" w:rsidR="00525207" w:rsidRPr="004D40B9" w:rsidRDefault="00525207" w:rsidP="004D40B9">
      <w:pPr>
        <w:pStyle w:val="Heading2"/>
      </w:pPr>
      <w:bookmarkStart w:id="40" w:name="_Toc499545065"/>
      <w:bookmarkStart w:id="41" w:name="_Toc53504287"/>
      <w:r w:rsidRPr="004D40B9">
        <w:t>Right to data erasure</w:t>
      </w:r>
      <w:bookmarkEnd w:id="40"/>
      <w:bookmarkEnd w:id="41"/>
      <w:r w:rsidRPr="004D40B9">
        <w:t xml:space="preserve"> </w:t>
      </w:r>
    </w:p>
    <w:p w14:paraId="08CD4D18" w14:textId="728FE226" w:rsidR="00525207" w:rsidRPr="00791FB8" w:rsidRDefault="00525207" w:rsidP="00525207">
      <w:r w:rsidRPr="00791FB8">
        <w:t xml:space="preserve">In some circumstances data subjects may request that </w:t>
      </w:r>
      <w:r w:rsidR="00796F96">
        <w:t>we</w:t>
      </w:r>
      <w:r w:rsidRPr="00791FB8">
        <w:t xml:space="preserve"> erase the personal data </w:t>
      </w:r>
      <w:r w:rsidR="00796F96">
        <w:t>we</w:t>
      </w:r>
      <w:r w:rsidRPr="00791FB8">
        <w:t xml:space="preserve"> hold about them.</w:t>
      </w:r>
    </w:p>
    <w:p w14:paraId="47134438" w14:textId="0BA32E4D" w:rsidR="00525207" w:rsidRPr="00791FB8" w:rsidRDefault="00525207" w:rsidP="00525207">
      <w:r w:rsidRPr="00791FB8">
        <w:t>When such valid requests are made requests for erasure will be complied with, and the data subject informed of the erasure.</w:t>
      </w:r>
      <w:r w:rsidR="005343CD">
        <w:t xml:space="preserve"> Data will be erased from live and back-up systems.</w:t>
      </w:r>
    </w:p>
    <w:p w14:paraId="492D0284" w14:textId="77777777" w:rsidR="00525207" w:rsidRPr="00791FB8" w:rsidRDefault="00525207" w:rsidP="00525207">
      <w:r w:rsidRPr="00791FB8">
        <w:t>In the event that any personal data that is to be erased in response to a data subject request has been disclosed to third parties, those parties will be informed of the erasure unless it is impossible or would require disproportionate effort to do so.</w:t>
      </w:r>
    </w:p>
    <w:p w14:paraId="5EC66A8D" w14:textId="226B0E5B" w:rsidR="00525207" w:rsidRPr="00791FB8" w:rsidRDefault="00525207" w:rsidP="00525207">
      <w:r w:rsidRPr="00791FB8">
        <w:lastRenderedPageBreak/>
        <w:t xml:space="preserve">The right to erasure may not apply in situations where </w:t>
      </w:r>
      <w:r w:rsidR="00796F96">
        <w:t>we are</w:t>
      </w:r>
      <w:r w:rsidRPr="00791FB8">
        <w:t xml:space="preserve"> legally obliged to retain the data, where </w:t>
      </w:r>
      <w:r w:rsidR="00926204">
        <w:t>we</w:t>
      </w:r>
      <w:r w:rsidRPr="00791FB8">
        <w:t xml:space="preserve"> obtained the data under a legal basis other than consent or legitimate interests, or where there is another overriding reason to retain it.</w:t>
      </w:r>
      <w:r w:rsidR="005343CD">
        <w:t xml:space="preserve"> The right to erasure has particular weight when it applies to data collected from children. </w:t>
      </w:r>
    </w:p>
    <w:p w14:paraId="7CF292F0" w14:textId="77777777" w:rsidR="00525207" w:rsidRPr="004D40B9" w:rsidRDefault="00525207" w:rsidP="004D40B9">
      <w:pPr>
        <w:pStyle w:val="Heading2"/>
      </w:pPr>
      <w:bookmarkStart w:id="42" w:name="_Toc499545066"/>
      <w:bookmarkStart w:id="43" w:name="_Toc53504288"/>
      <w:r w:rsidRPr="004D40B9">
        <w:t>Right to restrict data processing</w:t>
      </w:r>
      <w:bookmarkEnd w:id="42"/>
      <w:bookmarkEnd w:id="43"/>
    </w:p>
    <w:p w14:paraId="00FBFABA" w14:textId="33BF09D6" w:rsidR="00525207" w:rsidRPr="00791FB8" w:rsidRDefault="00525207" w:rsidP="00525207">
      <w:r w:rsidRPr="00791FB8">
        <w:t xml:space="preserve">In certain circumstances subjects may request that </w:t>
      </w:r>
      <w:r w:rsidR="00796F96">
        <w:t>we</w:t>
      </w:r>
      <w:r w:rsidRPr="00791FB8">
        <w:t xml:space="preserve"> cease to process personal data </w:t>
      </w:r>
      <w:r w:rsidR="00926204">
        <w:t xml:space="preserve">that we </w:t>
      </w:r>
      <w:r w:rsidRPr="00791FB8">
        <w:t xml:space="preserve">hold about them. </w:t>
      </w:r>
    </w:p>
    <w:p w14:paraId="5DCE56A9" w14:textId="72063CDA" w:rsidR="00525207" w:rsidRPr="00791FB8" w:rsidRDefault="00525207" w:rsidP="00525207">
      <w:r w:rsidRPr="00791FB8">
        <w:t xml:space="preserve">If a data subject makes a valid request, </w:t>
      </w:r>
      <w:r w:rsidR="00BA7DCD">
        <w:t>we</w:t>
      </w:r>
      <w:r w:rsidRPr="00791FB8">
        <w:t xml:space="preserve"> will retain only the amount of personal data pertaining to that data subject that is necessary to ensure that no further processing of their personal data takes place.</w:t>
      </w:r>
    </w:p>
    <w:p w14:paraId="4FDF67DD" w14:textId="77777777" w:rsidR="00525207" w:rsidRPr="00791FB8" w:rsidRDefault="00525207" w:rsidP="00525207">
      <w:r w:rsidRPr="00791FB8">
        <w:t>In the event that any affected personal data has been disclosed to third parties, those parties will be informed of the applicable restrictions on processing it unless it is impossible or would require disproportionate effort to do so.</w:t>
      </w:r>
    </w:p>
    <w:p w14:paraId="48A05FC1" w14:textId="77777777" w:rsidR="00525207" w:rsidRPr="00791FB8" w:rsidRDefault="00525207" w:rsidP="00525207">
      <w:r w:rsidRPr="00791FB8">
        <w:t xml:space="preserve">This right primarily applies in the event that a data subject has contested the accuracy or legitimacy of the processing activity, </w:t>
      </w:r>
      <w:r>
        <w:t>and while the accuracy or consideration is in question</w:t>
      </w:r>
      <w:r w:rsidRPr="00791FB8">
        <w:t>.</w:t>
      </w:r>
    </w:p>
    <w:p w14:paraId="4B863A1E" w14:textId="77777777" w:rsidR="00525207" w:rsidRPr="004D40B9" w:rsidRDefault="00525207" w:rsidP="004D40B9">
      <w:pPr>
        <w:pStyle w:val="Heading2"/>
      </w:pPr>
      <w:bookmarkStart w:id="44" w:name="_Toc499545067"/>
      <w:bookmarkStart w:id="45" w:name="_Toc53504289"/>
      <w:r w:rsidRPr="004D40B9">
        <w:t>Right to data portability</w:t>
      </w:r>
      <w:bookmarkEnd w:id="44"/>
      <w:bookmarkEnd w:id="45"/>
      <w:r w:rsidRPr="004D40B9">
        <w:t xml:space="preserve"> </w:t>
      </w:r>
    </w:p>
    <w:p w14:paraId="777063EA" w14:textId="74596FAD" w:rsidR="00525207" w:rsidRPr="00791FB8" w:rsidRDefault="00525207" w:rsidP="00525207">
      <w:pPr>
        <w:rPr>
          <w:lang w:eastAsia="en-GB"/>
        </w:rPr>
      </w:pPr>
      <w:r w:rsidRPr="00791FB8">
        <w:t xml:space="preserve">If a data subject has directly provided information to </w:t>
      </w:r>
      <w:r w:rsidR="00BA7DCD">
        <w:t>us</w:t>
      </w:r>
      <w:r w:rsidRPr="00791FB8">
        <w:t>, they may have a right to data portability. This allows individuals to obtain and reuse their personal data for their own purposes across different services. T</w:t>
      </w:r>
      <w:r w:rsidRPr="00791FB8">
        <w:rPr>
          <w:lang w:eastAsia="en-GB"/>
        </w:rPr>
        <w:t>his right will only apply:</w:t>
      </w:r>
    </w:p>
    <w:p w14:paraId="2DB6121A" w14:textId="77777777" w:rsidR="00525207" w:rsidRPr="00791FB8" w:rsidRDefault="00525207" w:rsidP="004D40B9">
      <w:pPr>
        <w:pStyle w:val="ListBullet"/>
      </w:pPr>
      <w:r w:rsidRPr="00791FB8">
        <w:t>to personal data an individual has provided to a controller</w:t>
      </w:r>
    </w:p>
    <w:p w14:paraId="3CE1404B" w14:textId="77777777" w:rsidR="00525207" w:rsidRPr="00791FB8" w:rsidRDefault="00525207" w:rsidP="004D40B9">
      <w:pPr>
        <w:pStyle w:val="ListBullet"/>
      </w:pPr>
      <w:r w:rsidRPr="00791FB8">
        <w:t>where the processing is based on the individual’s consent or for the performance of a contract, and</w:t>
      </w:r>
    </w:p>
    <w:p w14:paraId="286C56B6" w14:textId="77777777" w:rsidR="00525207" w:rsidRPr="00791FB8" w:rsidRDefault="00525207" w:rsidP="004D40B9">
      <w:pPr>
        <w:pStyle w:val="ListBullet"/>
      </w:pPr>
      <w:proofErr w:type="gramStart"/>
      <w:r w:rsidRPr="00791FB8">
        <w:t>when</w:t>
      </w:r>
      <w:proofErr w:type="gramEnd"/>
      <w:r w:rsidRPr="00791FB8">
        <w:t xml:space="preserve"> processing is carried out by automated means.</w:t>
      </w:r>
    </w:p>
    <w:p w14:paraId="4F3A19B1" w14:textId="77777777" w:rsidR="00525207" w:rsidRPr="004D40B9" w:rsidRDefault="00525207" w:rsidP="004D40B9">
      <w:pPr>
        <w:pStyle w:val="Heading2"/>
      </w:pPr>
      <w:bookmarkStart w:id="46" w:name="_Toc499545068"/>
      <w:bookmarkStart w:id="47" w:name="_Toc53504290"/>
      <w:r w:rsidRPr="004D40B9">
        <w:t>Right to objection</w:t>
      </w:r>
      <w:bookmarkEnd w:id="46"/>
      <w:bookmarkEnd w:id="47"/>
    </w:p>
    <w:p w14:paraId="02F88E05" w14:textId="77777777" w:rsidR="00525207" w:rsidRPr="00791FB8" w:rsidRDefault="00525207" w:rsidP="00525207">
      <w:r w:rsidRPr="00791FB8">
        <w:t>Data subjects have the right to object to the processing of their personal data. This right applies where data is processed for</w:t>
      </w:r>
      <w:r>
        <w:t>:</w:t>
      </w:r>
      <w:r w:rsidRPr="00791FB8">
        <w:t xml:space="preserve"> </w:t>
      </w:r>
    </w:p>
    <w:p w14:paraId="146D0CD1" w14:textId="75E6614B" w:rsidR="00525207" w:rsidRPr="00791FB8" w:rsidRDefault="00525207" w:rsidP="004D40B9">
      <w:pPr>
        <w:pStyle w:val="ListBullet"/>
      </w:pPr>
      <w:r w:rsidRPr="00791FB8">
        <w:lastRenderedPageBreak/>
        <w:t>direct marketing purposes</w:t>
      </w:r>
      <w:r w:rsidR="002C1528">
        <w:t>;</w:t>
      </w:r>
    </w:p>
    <w:p w14:paraId="36916DD8" w14:textId="3C3EF149" w:rsidR="00525207" w:rsidRPr="00791FB8" w:rsidRDefault="00525207" w:rsidP="004D40B9">
      <w:pPr>
        <w:pStyle w:val="ListBullet"/>
      </w:pPr>
      <w:r w:rsidRPr="00791FB8">
        <w:t>a task carried out in the public interest</w:t>
      </w:r>
      <w:r w:rsidR="002C1528">
        <w:t>;</w:t>
      </w:r>
    </w:p>
    <w:p w14:paraId="042FBFA1" w14:textId="25CFC302" w:rsidR="00525207" w:rsidRPr="00791FB8" w:rsidRDefault="00525207" w:rsidP="004D40B9">
      <w:pPr>
        <w:pStyle w:val="ListBullet"/>
      </w:pPr>
      <w:r w:rsidRPr="00791FB8">
        <w:t>the exercise of any official (statutory) authority</w:t>
      </w:r>
      <w:r w:rsidR="002C1528">
        <w:t>;</w:t>
      </w:r>
      <w:r>
        <w:t xml:space="preserve"> or</w:t>
      </w:r>
    </w:p>
    <w:p w14:paraId="36D733E5" w14:textId="55713525" w:rsidR="00525207" w:rsidRPr="00791FB8" w:rsidRDefault="00525207" w:rsidP="004D40B9">
      <w:pPr>
        <w:pStyle w:val="ListBullet"/>
      </w:pPr>
      <w:proofErr w:type="gramStart"/>
      <w:r w:rsidRPr="00791FB8">
        <w:t>the</w:t>
      </w:r>
      <w:proofErr w:type="gramEnd"/>
      <w:r w:rsidRPr="00791FB8">
        <w:t xml:space="preserve"> legitimate interests of the </w:t>
      </w:r>
      <w:r w:rsidR="006D108F">
        <w:t xml:space="preserve">Equalities and Human Rights </w:t>
      </w:r>
      <w:r w:rsidRPr="00791FB8">
        <w:t>Commission</w:t>
      </w:r>
      <w:r>
        <w:t>.</w:t>
      </w:r>
    </w:p>
    <w:p w14:paraId="78EE98B4" w14:textId="01297D8B" w:rsidR="00525207" w:rsidRPr="00791FB8" w:rsidRDefault="00525207" w:rsidP="00525207">
      <w:r w:rsidRPr="00791FB8">
        <w:t>The right to object also applies to processing for scientific or historical research, or statistical purposes, however</w:t>
      </w:r>
      <w:r>
        <w:t xml:space="preserve"> it</w:t>
      </w:r>
      <w:r w:rsidRPr="00791FB8">
        <w:t xml:space="preserve"> is more limited.</w:t>
      </w:r>
    </w:p>
    <w:p w14:paraId="74651A4A" w14:textId="2E78E54A" w:rsidR="00525207" w:rsidRPr="00791FB8" w:rsidRDefault="00525207" w:rsidP="00525207">
      <w:r w:rsidRPr="00791FB8">
        <w:t xml:space="preserve">Where a data subject objects to the processing of their personal data and it meets the conditions of the </w:t>
      </w:r>
      <w:r w:rsidR="00E66325">
        <w:t xml:space="preserve">UK </w:t>
      </w:r>
      <w:r w:rsidRPr="00791FB8">
        <w:t xml:space="preserve">GDPR </w:t>
      </w:r>
      <w:r w:rsidR="008F691A">
        <w:t>we</w:t>
      </w:r>
      <w:r w:rsidRPr="00791FB8">
        <w:t xml:space="preserve"> will cease such processing.</w:t>
      </w:r>
    </w:p>
    <w:p w14:paraId="65AE6E1C" w14:textId="77777777" w:rsidR="00525207" w:rsidRPr="004D40B9" w:rsidRDefault="00525207" w:rsidP="004D40B9">
      <w:pPr>
        <w:pStyle w:val="Heading2"/>
      </w:pPr>
      <w:bookmarkStart w:id="48" w:name="_Toc499545069"/>
      <w:bookmarkStart w:id="49" w:name="_Toc53504291"/>
      <w:r w:rsidRPr="004D40B9">
        <w:t>Rights in respect of automated decision-making and profiling</w:t>
      </w:r>
      <w:bookmarkEnd w:id="48"/>
      <w:bookmarkEnd w:id="49"/>
    </w:p>
    <w:p w14:paraId="6FC3114B" w14:textId="6290F5CF" w:rsidR="00525207" w:rsidRPr="00791FB8" w:rsidRDefault="00525207" w:rsidP="00525207">
      <w:r w:rsidRPr="00791FB8">
        <w:t xml:space="preserve">In the event that </w:t>
      </w:r>
      <w:r w:rsidR="006D108F">
        <w:t>we</w:t>
      </w:r>
      <w:r w:rsidRPr="00791FB8">
        <w:t xml:space="preserve"> use personal data for the purposes of automated decision-making or profiling and those decisions have a legal (or similarly significant)</w:t>
      </w:r>
      <w:r>
        <w:t xml:space="preserve"> effect</w:t>
      </w:r>
      <w:r w:rsidRPr="00791FB8">
        <w:t xml:space="preserve"> on data subjects, data subjects have the right to challenge such decisions under the </w:t>
      </w:r>
      <w:r w:rsidR="00E66325">
        <w:t xml:space="preserve">UK </w:t>
      </w:r>
      <w:r w:rsidRPr="00791FB8">
        <w:t xml:space="preserve">GDPR, requesting human intervention, expressing their own point of view, and obtaining an explanation of the decision from the organisation. </w:t>
      </w:r>
      <w:r w:rsidR="006D108F">
        <w:t>We</w:t>
      </w:r>
      <w:r w:rsidRPr="00791FB8">
        <w:t xml:space="preserve"> will respect these rights in so far as they apply </w:t>
      </w:r>
      <w:r>
        <w:t>in the circumstances</w:t>
      </w:r>
      <w:r w:rsidRPr="00791FB8">
        <w:t>.</w:t>
      </w:r>
    </w:p>
    <w:p w14:paraId="297B6462" w14:textId="77777777" w:rsidR="00525207" w:rsidRPr="004D40B9" w:rsidRDefault="00525207" w:rsidP="004D40B9">
      <w:pPr>
        <w:pStyle w:val="Heading2"/>
      </w:pPr>
      <w:bookmarkStart w:id="50" w:name="_Toc499545070"/>
      <w:bookmarkStart w:id="51" w:name="_Toc53504292"/>
      <w:r w:rsidRPr="004D40B9">
        <w:t>How to make a request</w:t>
      </w:r>
      <w:bookmarkEnd w:id="50"/>
      <w:r w:rsidRPr="004D40B9">
        <w:t xml:space="preserve"> relating to personal data</w:t>
      </w:r>
      <w:bookmarkEnd w:id="51"/>
    </w:p>
    <w:p w14:paraId="7DC6BA12" w14:textId="473C8940" w:rsidR="00525207" w:rsidRDefault="00525207" w:rsidP="00525207">
      <w:r>
        <w:t>R</w:t>
      </w:r>
      <w:r w:rsidRPr="0034473D">
        <w:t xml:space="preserve">equests </w:t>
      </w:r>
      <w:r>
        <w:t xml:space="preserve">relating to personal </w:t>
      </w:r>
      <w:r w:rsidRPr="0034473D">
        <w:t xml:space="preserve">data held by the </w:t>
      </w:r>
      <w:r w:rsidR="006D108F">
        <w:t xml:space="preserve">Equalities and Human Rights </w:t>
      </w:r>
      <w:r w:rsidRPr="0034473D">
        <w:t xml:space="preserve">Commission </w:t>
      </w:r>
      <w:r>
        <w:t>can be made by:</w:t>
      </w:r>
    </w:p>
    <w:p w14:paraId="4BDD46C4" w14:textId="77777777" w:rsidR="00525207" w:rsidRPr="00805EB9" w:rsidRDefault="00525207" w:rsidP="00525207">
      <w:pPr>
        <w:rPr>
          <w:rStyle w:val="Hyperlink"/>
        </w:rPr>
      </w:pPr>
      <w:r w:rsidRPr="0034473D">
        <w:t xml:space="preserve">Email: </w:t>
      </w:r>
      <w:r w:rsidRPr="006018C3">
        <w:rPr>
          <w:rStyle w:val="Hyperlink"/>
        </w:rPr>
        <w:t>dp@equalityhumanrights.com</w:t>
      </w:r>
    </w:p>
    <w:p w14:paraId="02F09B5B" w14:textId="77777777" w:rsidR="00525207" w:rsidRDefault="00525207" w:rsidP="00525207">
      <w:proofErr w:type="gramStart"/>
      <w:r>
        <w:t>or</w:t>
      </w:r>
      <w:proofErr w:type="gramEnd"/>
    </w:p>
    <w:p w14:paraId="6384B6D7" w14:textId="77777777" w:rsidR="00525207" w:rsidRDefault="00525207" w:rsidP="00525207">
      <w:r>
        <w:t>Letter sent to the following address:</w:t>
      </w:r>
    </w:p>
    <w:p w14:paraId="75674C91" w14:textId="77777777" w:rsidR="00525207" w:rsidRDefault="00525207" w:rsidP="00525207">
      <w:r>
        <w:t>Data Protection Officer</w:t>
      </w:r>
      <w:r w:rsidRPr="0034473D">
        <w:br/>
        <w:t xml:space="preserve">Equality and Human Rights Commission </w:t>
      </w:r>
      <w:r w:rsidRPr="0034473D">
        <w:br/>
        <w:t>3rd floor Arndale House</w:t>
      </w:r>
      <w:r w:rsidRPr="0034473D">
        <w:br/>
        <w:t>The Arndale Centre</w:t>
      </w:r>
      <w:r w:rsidRPr="0034473D">
        <w:br/>
        <w:t>Manchester</w:t>
      </w:r>
      <w:r w:rsidRPr="0034473D">
        <w:br/>
        <w:t>M4 3AQ</w:t>
      </w:r>
    </w:p>
    <w:p w14:paraId="16F14E30" w14:textId="77777777" w:rsidR="00525207" w:rsidRDefault="00525207" w:rsidP="00525207">
      <w:proofErr w:type="gramStart"/>
      <w:r>
        <w:t>or</w:t>
      </w:r>
      <w:proofErr w:type="gramEnd"/>
      <w:r>
        <w:t xml:space="preserve"> </w:t>
      </w:r>
    </w:p>
    <w:p w14:paraId="4251567D" w14:textId="77777777" w:rsidR="00525207" w:rsidRDefault="00525207" w:rsidP="00525207">
      <w:r>
        <w:lastRenderedPageBreak/>
        <w:t xml:space="preserve">Verbally by calling </w:t>
      </w:r>
      <w:r w:rsidRPr="0034473D">
        <w:t>0161 829 8</w:t>
      </w:r>
      <w:r>
        <w:t xml:space="preserve">327 </w:t>
      </w:r>
    </w:p>
    <w:p w14:paraId="456FC516" w14:textId="77777777" w:rsidR="00525207" w:rsidRPr="0034473D" w:rsidRDefault="00525207" w:rsidP="00525207">
      <w:r>
        <w:t xml:space="preserve">Requests can also be made </w:t>
      </w:r>
      <w:r w:rsidRPr="0034473D">
        <w:t xml:space="preserve">via the </w:t>
      </w:r>
      <w:hyperlink r:id="rId8" w:history="1">
        <w:r w:rsidRPr="00DF6A74">
          <w:rPr>
            <w:rStyle w:val="Hyperlink"/>
          </w:rPr>
          <w:t>sign video service</w:t>
        </w:r>
      </w:hyperlink>
      <w:r>
        <w:t>.</w:t>
      </w:r>
      <w:r w:rsidRPr="0034473D">
        <w:t xml:space="preserve"> </w:t>
      </w:r>
    </w:p>
    <w:p w14:paraId="6BE8C85D" w14:textId="43E2E1E0" w:rsidR="00525207" w:rsidRPr="00EC2430" w:rsidRDefault="00525207" w:rsidP="00525207">
      <w:pPr>
        <w:rPr>
          <w:rFonts w:eastAsia="Times New Roman"/>
        </w:rPr>
      </w:pPr>
      <w:r w:rsidRPr="0034473D">
        <w:t xml:space="preserve">Once </w:t>
      </w:r>
      <w:r w:rsidR="006D108F">
        <w:t>we</w:t>
      </w:r>
      <w:r w:rsidRPr="0034473D">
        <w:t xml:space="preserve"> </w:t>
      </w:r>
      <w:r>
        <w:t xml:space="preserve">receive a request </w:t>
      </w:r>
      <w:r w:rsidR="006D108F">
        <w:t>we</w:t>
      </w:r>
      <w:r>
        <w:t xml:space="preserve"> will send</w:t>
      </w:r>
      <w:r w:rsidRPr="0034473D">
        <w:t xml:space="preserve"> an acknowledgement letter</w:t>
      </w:r>
      <w:r>
        <w:t xml:space="preserve"> to the requester</w:t>
      </w:r>
      <w:r w:rsidRPr="0034473D">
        <w:t>. Once full details of a request ha</w:t>
      </w:r>
      <w:r>
        <w:t>ve</w:t>
      </w:r>
      <w:r w:rsidRPr="0034473D">
        <w:t xml:space="preserve"> been confirmed</w:t>
      </w:r>
      <w:r>
        <w:t xml:space="preserve"> and </w:t>
      </w:r>
      <w:r w:rsidR="00935C2D">
        <w:t xml:space="preserve">any </w:t>
      </w:r>
      <w:r>
        <w:t xml:space="preserve">necessary </w:t>
      </w:r>
      <w:r w:rsidR="002C1528">
        <w:t>identification</w:t>
      </w:r>
      <w:r>
        <w:t xml:space="preserve"> provided</w:t>
      </w:r>
      <w:r w:rsidRPr="0034473D">
        <w:t xml:space="preserve">, </w:t>
      </w:r>
      <w:r w:rsidR="006D108F">
        <w:t>we</w:t>
      </w:r>
      <w:r w:rsidRPr="0034473D">
        <w:t xml:space="preserve"> will provide a full </w:t>
      </w:r>
      <w:r>
        <w:t>response within one month,</w:t>
      </w:r>
      <w:r w:rsidRPr="00FC20FB">
        <w:rPr>
          <w:rFonts w:eastAsia="Times New Roman"/>
        </w:rPr>
        <w:t xml:space="preserve"> </w:t>
      </w:r>
      <w:r w:rsidRPr="00EC2430">
        <w:rPr>
          <w:rFonts w:eastAsia="Times New Roman"/>
        </w:rPr>
        <w:t>but this can be extended by up to two months in the case of complex and</w:t>
      </w:r>
      <w:r>
        <w:rPr>
          <w:rFonts w:eastAsia="Times New Roman"/>
        </w:rPr>
        <w:t xml:space="preserve"> </w:t>
      </w:r>
      <w:r w:rsidRPr="00EC2430">
        <w:rPr>
          <w:rFonts w:eastAsia="Times New Roman"/>
        </w:rPr>
        <w:t>/</w:t>
      </w:r>
      <w:r>
        <w:rPr>
          <w:rFonts w:eastAsia="Times New Roman"/>
        </w:rPr>
        <w:t xml:space="preserve"> </w:t>
      </w:r>
      <w:r w:rsidRPr="00EC2430">
        <w:rPr>
          <w:rFonts w:eastAsia="Times New Roman"/>
        </w:rPr>
        <w:t>or numerous requests</w:t>
      </w:r>
      <w:r w:rsidR="002C1528">
        <w:rPr>
          <w:rFonts w:eastAsia="Times New Roman"/>
        </w:rPr>
        <w:t>.</w:t>
      </w:r>
      <w:r w:rsidR="00CB7209">
        <w:rPr>
          <w:rFonts w:eastAsia="Times New Roman"/>
        </w:rPr>
        <w:t xml:space="preserve"> </w:t>
      </w:r>
      <w:r w:rsidR="002C1528">
        <w:rPr>
          <w:rFonts w:eastAsia="Times New Roman"/>
        </w:rPr>
        <w:t>I</w:t>
      </w:r>
      <w:r w:rsidRPr="00EC2430">
        <w:rPr>
          <w:rFonts w:eastAsia="Times New Roman"/>
        </w:rPr>
        <w:t>n such cases the data subject will be informed of the need for the extension.</w:t>
      </w:r>
    </w:p>
    <w:p w14:paraId="5C5B7CC9" w14:textId="5D0CAF3F" w:rsidR="00525207" w:rsidRDefault="006D108F" w:rsidP="00525207">
      <w:r>
        <w:t>We do</w:t>
      </w:r>
      <w:r w:rsidR="00525207" w:rsidRPr="0034473D">
        <w:t xml:space="preserve"> not need to comply with a request where </w:t>
      </w:r>
      <w:r>
        <w:t>we have</w:t>
      </w:r>
      <w:r w:rsidR="00525207" w:rsidRPr="0034473D">
        <w:t xml:space="preserve"> received an identical or similar request from the same individual</w:t>
      </w:r>
      <w:r w:rsidR="00525207">
        <w:t>,</w:t>
      </w:r>
      <w:r w:rsidR="00525207" w:rsidRPr="0034473D">
        <w:t xml:space="preserve"> unless a reasonable interval has elapsed between compliance with the original request and the current request.</w:t>
      </w:r>
    </w:p>
    <w:p w14:paraId="3CCF2587" w14:textId="77777777" w:rsidR="00525207" w:rsidRPr="004D40B9" w:rsidRDefault="00525207" w:rsidP="004D40B9">
      <w:pPr>
        <w:pStyle w:val="Heading2"/>
      </w:pPr>
      <w:bookmarkStart w:id="52" w:name="_Toc499545071"/>
      <w:bookmarkStart w:id="53" w:name="_Toc53504293"/>
      <w:r w:rsidRPr="004D40B9">
        <w:t>Identity</w:t>
      </w:r>
      <w:bookmarkEnd w:id="52"/>
      <w:bookmarkEnd w:id="53"/>
    </w:p>
    <w:p w14:paraId="71DF8534" w14:textId="42A1A97D" w:rsidR="00525207" w:rsidRPr="0034473D" w:rsidRDefault="006D108F" w:rsidP="00525207">
      <w:r>
        <w:t>We</w:t>
      </w:r>
      <w:r w:rsidR="00525207">
        <w:t xml:space="preserve"> must take steps to confirm the identity of the individual before responding to a request. The checks made will be reasonable and proportionate. </w:t>
      </w:r>
    </w:p>
    <w:p w14:paraId="270621F0" w14:textId="77777777" w:rsidR="00525207" w:rsidRPr="004D40B9" w:rsidRDefault="00525207" w:rsidP="004D40B9">
      <w:pPr>
        <w:pStyle w:val="Heading2"/>
      </w:pPr>
      <w:bookmarkStart w:id="54" w:name="_Toc53504294"/>
      <w:r w:rsidRPr="004D40B9">
        <w:t>Reviews</w:t>
      </w:r>
      <w:bookmarkEnd w:id="54"/>
    </w:p>
    <w:p w14:paraId="3150CC61" w14:textId="4EEFE6B1" w:rsidR="00525207" w:rsidRPr="0034473D" w:rsidRDefault="00525207" w:rsidP="00525207">
      <w:r w:rsidRPr="0034473D">
        <w:t xml:space="preserve">If the requester is not happy with the response that they receive following </w:t>
      </w:r>
      <w:r>
        <w:t>any</w:t>
      </w:r>
      <w:r w:rsidRPr="0034473D">
        <w:t xml:space="preserve"> of the above, they should first complain to </w:t>
      </w:r>
      <w:r w:rsidR="006D108F">
        <w:t>us</w:t>
      </w:r>
      <w:r w:rsidRPr="0034473D">
        <w:t xml:space="preserve"> in writing </w:t>
      </w:r>
      <w:r>
        <w:t>using the contact details provided above</w:t>
      </w:r>
    </w:p>
    <w:p w14:paraId="03BD7710" w14:textId="03F753AA" w:rsidR="00525207" w:rsidRPr="0034473D" w:rsidRDefault="00525207" w:rsidP="00525207">
      <w:r>
        <w:t>Where a requestor</w:t>
      </w:r>
      <w:r w:rsidRPr="0034473D">
        <w:t xml:space="preserve"> is unable to contact </w:t>
      </w:r>
      <w:r w:rsidR="006D108F">
        <w:t>us</w:t>
      </w:r>
      <w:r w:rsidRPr="0034473D">
        <w:t xml:space="preserve"> in writing and requires a reasonable adjustment because they are </w:t>
      </w:r>
      <w:r>
        <w:t>disabled</w:t>
      </w:r>
      <w:r w:rsidRPr="0034473D">
        <w:t xml:space="preserve">, they may contact </w:t>
      </w:r>
      <w:r w:rsidR="006D108F">
        <w:t>us</w:t>
      </w:r>
      <w:r w:rsidRPr="0034473D">
        <w:t xml:space="preserve"> on 0161 829 8</w:t>
      </w:r>
      <w:r>
        <w:t>327</w:t>
      </w:r>
      <w:r w:rsidRPr="0034473D">
        <w:t xml:space="preserve"> or alternatively, via the </w:t>
      </w:r>
      <w:hyperlink r:id="rId9" w:history="1">
        <w:r w:rsidRPr="00DF6A74">
          <w:rPr>
            <w:rStyle w:val="Hyperlink"/>
          </w:rPr>
          <w:t>sign video service</w:t>
        </w:r>
      </w:hyperlink>
      <w:r>
        <w:t xml:space="preserve">. </w:t>
      </w:r>
    </w:p>
    <w:p w14:paraId="168D61C7" w14:textId="77777777" w:rsidR="00525207" w:rsidRPr="0034473D" w:rsidRDefault="00525207" w:rsidP="00525207">
      <w:r>
        <w:t xml:space="preserve">Review requests </w:t>
      </w:r>
      <w:r w:rsidRPr="0034473D">
        <w:t xml:space="preserve">will be acknowledged within </w:t>
      </w:r>
      <w:r>
        <w:t>five</w:t>
      </w:r>
      <w:r w:rsidRPr="0034473D">
        <w:t xml:space="preserve"> working days of receipt and a response will be provided within 20 working days of receipt. Requesters who remain dissatisfied may complain to the Information Commissioner at:</w:t>
      </w:r>
    </w:p>
    <w:p w14:paraId="48ECD547" w14:textId="77777777" w:rsidR="00525207" w:rsidRPr="0034473D" w:rsidRDefault="00525207" w:rsidP="00525207">
      <w:r w:rsidRPr="0034473D">
        <w:t xml:space="preserve">Information Commissioner's Office </w:t>
      </w:r>
      <w:r w:rsidRPr="0034473D">
        <w:br/>
        <w:t>Wycliffe House</w:t>
      </w:r>
      <w:r w:rsidRPr="0034473D">
        <w:br/>
        <w:t>Water Lane</w:t>
      </w:r>
      <w:r w:rsidRPr="0034473D">
        <w:br/>
        <w:t>Wilmslow</w:t>
      </w:r>
      <w:r w:rsidRPr="0034473D">
        <w:br/>
        <w:t>Cheshire</w:t>
      </w:r>
      <w:r w:rsidRPr="0034473D">
        <w:br/>
        <w:t>SK9 5AF</w:t>
      </w:r>
    </w:p>
    <w:p w14:paraId="40BED14C" w14:textId="425159EE" w:rsidR="00525207" w:rsidRDefault="00525207" w:rsidP="00525207">
      <w:r w:rsidRPr="0034473D">
        <w:lastRenderedPageBreak/>
        <w:t xml:space="preserve">The Information Commissioner will not normally deal with a complaint unless </w:t>
      </w:r>
      <w:r w:rsidR="006D108F">
        <w:t>our</w:t>
      </w:r>
      <w:r w:rsidRPr="0034473D">
        <w:t xml:space="preserve"> internal </w:t>
      </w:r>
      <w:r>
        <w:t>review</w:t>
      </w:r>
      <w:r w:rsidRPr="0034473D">
        <w:t xml:space="preserve"> process has been exhausted.</w:t>
      </w:r>
    </w:p>
    <w:p w14:paraId="7370158A" w14:textId="77777777" w:rsidR="00525207" w:rsidRDefault="00525207" w:rsidP="00525207">
      <w:pPr>
        <w:rPr>
          <w:rFonts w:ascii="Arial" w:hAnsi="Arial" w:cs="Arial"/>
          <w:color w:val="000000"/>
          <w:szCs w:val="24"/>
        </w:rPr>
      </w:pPr>
      <w:r>
        <w:br w:type="page"/>
      </w:r>
    </w:p>
    <w:p w14:paraId="2DF75388" w14:textId="578A0DD8" w:rsidR="00525207" w:rsidRPr="00870C33" w:rsidRDefault="00525207" w:rsidP="004D40B9">
      <w:pPr>
        <w:pStyle w:val="Heading1"/>
        <w:rPr>
          <w:rFonts w:ascii="Arial" w:hAnsi="Arial" w:cs="Arial"/>
          <w:sz w:val="24"/>
          <w:szCs w:val="24"/>
        </w:rPr>
      </w:pPr>
      <w:bookmarkStart w:id="55" w:name="_Toc53504295"/>
      <w:r w:rsidRPr="0034473D">
        <w:lastRenderedPageBreak/>
        <w:t>P</w:t>
      </w:r>
      <w:r>
        <w:t>art 5</w:t>
      </w:r>
      <w:r w:rsidRPr="0034473D">
        <w:t>: Transferring person</w:t>
      </w:r>
      <w:r w:rsidR="004D40B9">
        <w:t xml:space="preserve">al data </w:t>
      </w:r>
      <w:r>
        <w:t xml:space="preserve">outside </w:t>
      </w:r>
      <w:r w:rsidRPr="0034473D">
        <w:t xml:space="preserve">the </w:t>
      </w:r>
      <w:bookmarkEnd w:id="55"/>
      <w:r w:rsidR="002A0012">
        <w:t>UK</w:t>
      </w:r>
    </w:p>
    <w:p w14:paraId="044C60C0" w14:textId="3F8F476B" w:rsidR="00525207" w:rsidRPr="00BB6637" w:rsidRDefault="007A7ED1" w:rsidP="00525207">
      <w:r>
        <w:t>We</w:t>
      </w:r>
      <w:r w:rsidR="00525207" w:rsidRPr="00BB6637">
        <w:t xml:space="preserve"> may from time to time transfer (‘transfer’ includes making available remotely) personal data to countries outside of the </w:t>
      </w:r>
      <w:r w:rsidR="002A0012">
        <w:t xml:space="preserve">UK </w:t>
      </w:r>
      <w:r w:rsidR="00525207">
        <w:t>only if:</w:t>
      </w:r>
    </w:p>
    <w:p w14:paraId="01285F26" w14:textId="0191736A" w:rsidR="00F92202" w:rsidRPr="00791FB8" w:rsidRDefault="00525207" w:rsidP="00F92202">
      <w:pPr>
        <w:pStyle w:val="ListBullet"/>
      </w:pPr>
      <w:r>
        <w:t>t</w:t>
      </w:r>
      <w:r w:rsidRPr="00BB6637">
        <w:t xml:space="preserve">he transfer is to a country, </w:t>
      </w:r>
      <w:r w:rsidRPr="00791FB8">
        <w:t xml:space="preserve">territory, or one or more specific sectors in that country (or an international organisation) that the </w:t>
      </w:r>
      <w:r w:rsidR="002A0012">
        <w:t>UK</w:t>
      </w:r>
      <w:r w:rsidRPr="00791FB8">
        <w:t xml:space="preserve"> has determined ensures an adequate level of protection for personal data</w:t>
      </w:r>
      <w:r w:rsidR="00F92202">
        <w:t xml:space="preserve"> (</w:t>
      </w:r>
      <w:r w:rsidR="002B59B5">
        <w:t>the UK has determined that</w:t>
      </w:r>
      <w:r w:rsidR="00F92202">
        <w:t xml:space="preserve"> members of the </w:t>
      </w:r>
      <w:r w:rsidR="007A7ED1">
        <w:t>European Economic Area (</w:t>
      </w:r>
      <w:r w:rsidR="00F92202">
        <w:t>EEA</w:t>
      </w:r>
      <w:r w:rsidR="007A7ED1">
        <w:t>)</w:t>
      </w:r>
      <w:r w:rsidR="002B59B5">
        <w:t xml:space="preserve"> have an adequate level of protection in place</w:t>
      </w:r>
      <w:r w:rsidR="00F92202">
        <w:t>)</w:t>
      </w:r>
      <w:r w:rsidR="005A5B8D">
        <w:t>; or</w:t>
      </w:r>
    </w:p>
    <w:p w14:paraId="44631AC7" w14:textId="071C71F4" w:rsidR="00F92202" w:rsidRDefault="00F92202" w:rsidP="004D40B9">
      <w:pPr>
        <w:pStyle w:val="ListBullet"/>
      </w:pPr>
      <w:proofErr w:type="gramStart"/>
      <w:r>
        <w:t>an</w:t>
      </w:r>
      <w:proofErr w:type="gramEnd"/>
      <w:r>
        <w:t xml:space="preserve"> approved</w:t>
      </w:r>
      <w:r w:rsidR="00525207">
        <w:t xml:space="preserve"> </w:t>
      </w:r>
      <w:r w:rsidR="00525207" w:rsidRPr="00791FB8">
        <w:t>appropriate safeguard i</w:t>
      </w:r>
      <w:r w:rsidR="00525207">
        <w:t>s</w:t>
      </w:r>
      <w:r w:rsidR="00525207" w:rsidRPr="00791FB8">
        <w:t xml:space="preserve"> </w:t>
      </w:r>
      <w:r w:rsidR="00525207">
        <w:t>in place</w:t>
      </w:r>
      <w:r w:rsidR="005A5B8D">
        <w:t>.</w:t>
      </w:r>
    </w:p>
    <w:p w14:paraId="3B7E5029" w14:textId="4AFEA8BB" w:rsidR="00525207" w:rsidRPr="00791FB8" w:rsidRDefault="002B59B5" w:rsidP="00525207">
      <w:r>
        <w:t>We</w:t>
      </w:r>
      <w:r w:rsidR="00525207" w:rsidRPr="00791FB8">
        <w:t xml:space="preserve"> will not transfer data outside the </w:t>
      </w:r>
      <w:r w:rsidR="00F92202">
        <w:t>UK</w:t>
      </w:r>
      <w:r w:rsidR="00F92202" w:rsidRPr="00791FB8">
        <w:t xml:space="preserve"> </w:t>
      </w:r>
      <w:r w:rsidR="00525207" w:rsidRPr="00791FB8">
        <w:t xml:space="preserve">without </w:t>
      </w:r>
      <w:r w:rsidR="00E66325">
        <w:t xml:space="preserve">an adequacy decision or </w:t>
      </w:r>
      <w:r w:rsidR="005A5B8D">
        <w:t>an approved appropriate</w:t>
      </w:r>
      <w:r w:rsidR="00525207" w:rsidRPr="00791FB8">
        <w:t xml:space="preserve"> safeguard unless:</w:t>
      </w:r>
    </w:p>
    <w:p w14:paraId="77D61A0B" w14:textId="39D56906" w:rsidR="00525207" w:rsidRPr="00791FB8" w:rsidRDefault="00CB7209" w:rsidP="00A73344">
      <w:pPr>
        <w:pStyle w:val="ListBullet"/>
      </w:pPr>
      <w:r>
        <w:t>t</w:t>
      </w:r>
      <w:r w:rsidR="00525207" w:rsidRPr="00791FB8">
        <w:t xml:space="preserve">he transfer is made with the informed consent of </w:t>
      </w:r>
      <w:r w:rsidR="00525207" w:rsidRPr="00BB6637">
        <w:t xml:space="preserve">the relevant data </w:t>
      </w:r>
      <w:r w:rsidR="00525207" w:rsidRPr="00791FB8">
        <w:t>subject(s)</w:t>
      </w:r>
      <w:r w:rsidR="002B59B5">
        <w:t>;</w:t>
      </w:r>
    </w:p>
    <w:p w14:paraId="6BB22070" w14:textId="47B7C174" w:rsidR="00525207" w:rsidRPr="00791FB8" w:rsidRDefault="00CB7209" w:rsidP="00A73344">
      <w:pPr>
        <w:pStyle w:val="ListBullet"/>
      </w:pPr>
      <w:r>
        <w:t>t</w:t>
      </w:r>
      <w:r w:rsidR="00525207" w:rsidRPr="00791FB8">
        <w:t xml:space="preserve">he transfer is necessary for the performance or conclusion of a contract </w:t>
      </w:r>
      <w:r w:rsidR="002B59B5">
        <w:t>with</w:t>
      </w:r>
      <w:r w:rsidR="002B59B5" w:rsidRPr="00791FB8">
        <w:t xml:space="preserve"> </w:t>
      </w:r>
      <w:r w:rsidR="00525207" w:rsidRPr="00791FB8">
        <w:t>the data subject</w:t>
      </w:r>
      <w:r w:rsidR="00525207">
        <w:t>,</w:t>
      </w:r>
      <w:r w:rsidR="00525207" w:rsidRPr="00791FB8">
        <w:t xml:space="preserve"> or for pre-contractual steps taken at the request of the data subject</w:t>
      </w:r>
      <w:r>
        <w:t>;</w:t>
      </w:r>
    </w:p>
    <w:p w14:paraId="2B93600D" w14:textId="6A711E51" w:rsidR="00525207" w:rsidRPr="00791FB8" w:rsidRDefault="00CB7209" w:rsidP="00A73344">
      <w:pPr>
        <w:pStyle w:val="ListBullet"/>
      </w:pPr>
      <w:r>
        <w:t>t</w:t>
      </w:r>
      <w:r w:rsidR="00525207" w:rsidRPr="00791FB8">
        <w:t>he transfer is necessary for important public interest reasons</w:t>
      </w:r>
      <w:r>
        <w:t>;</w:t>
      </w:r>
    </w:p>
    <w:p w14:paraId="42AC4CA9" w14:textId="25D9BDE3" w:rsidR="00F92202" w:rsidRPr="00791FB8" w:rsidRDefault="00CB7209" w:rsidP="00A73344">
      <w:pPr>
        <w:pStyle w:val="ListBullet"/>
      </w:pPr>
      <w:r>
        <w:t>t</w:t>
      </w:r>
      <w:r w:rsidR="00525207" w:rsidRPr="00791FB8">
        <w:t>he transfer is necessary for the establishment, exercise or defence of legal claims</w:t>
      </w:r>
      <w:r>
        <w:t>;</w:t>
      </w:r>
    </w:p>
    <w:p w14:paraId="6689B77F" w14:textId="691EE933" w:rsidR="00F92202" w:rsidRPr="00791FB8" w:rsidRDefault="00CB7209" w:rsidP="00D31364">
      <w:pPr>
        <w:pStyle w:val="ListBullet"/>
      </w:pPr>
      <w:r>
        <w:t>t</w:t>
      </w:r>
      <w:r w:rsidR="00525207" w:rsidRPr="00791FB8">
        <w:t>he transfer is necessary to protect the vital interests of the data subject or other individuals where the data subject is physically or legally unable to give their consent</w:t>
      </w:r>
      <w:r>
        <w:t>;</w:t>
      </w:r>
    </w:p>
    <w:p w14:paraId="68BC65D6" w14:textId="77777777" w:rsidR="008C2ADE" w:rsidRDefault="00CB7209" w:rsidP="00D31364">
      <w:pPr>
        <w:pStyle w:val="ListBullet"/>
      </w:pPr>
      <w:r>
        <w:t>t</w:t>
      </w:r>
      <w:r w:rsidR="00525207" w:rsidRPr="00791FB8">
        <w:t>he transfer is made from a register that, under UK law, is intended to provide information to the public and which is open for access by the public, in general or otherwise, to those who are able to show a legitimate interest in accessing the register</w:t>
      </w:r>
      <w:r w:rsidR="008C2ADE">
        <w:t>;</w:t>
      </w:r>
    </w:p>
    <w:p w14:paraId="4C51807E" w14:textId="1FEFA892" w:rsidR="00525207" w:rsidRPr="00A73344" w:rsidRDefault="008C2ADE" w:rsidP="008C2ADE">
      <w:pPr>
        <w:pStyle w:val="ListBullet"/>
      </w:pPr>
      <w:proofErr w:type="gramStart"/>
      <w:r>
        <w:t>t</w:t>
      </w:r>
      <w:r w:rsidR="005A5B8D">
        <w:t>he</w:t>
      </w:r>
      <w:proofErr w:type="gramEnd"/>
      <w:r w:rsidR="005A5B8D">
        <w:t xml:space="preserve"> transfer is a one-off restricted transfer and it can be clearly demonstrated to be in the compelling legitimate interest of EHRC. </w:t>
      </w:r>
      <w:r w:rsidR="00525207" w:rsidRPr="00A73344">
        <w:br w:type="page"/>
      </w:r>
    </w:p>
    <w:p w14:paraId="6DBB3730" w14:textId="77777777" w:rsidR="00525207" w:rsidRPr="00EA4E52" w:rsidRDefault="00525207" w:rsidP="00A73344">
      <w:pPr>
        <w:pStyle w:val="Heading1"/>
        <w:rPr>
          <w:rFonts w:ascii="Arial" w:hAnsi="Arial" w:cs="Arial"/>
          <w:sz w:val="24"/>
          <w:szCs w:val="24"/>
          <w:lang w:eastAsia="en-GB"/>
        </w:rPr>
      </w:pPr>
      <w:bookmarkStart w:id="56" w:name="_Toc53504296"/>
      <w:r>
        <w:lastRenderedPageBreak/>
        <w:t>Part 6</w:t>
      </w:r>
      <w:r w:rsidRPr="0034473D">
        <w:t>: Disclosure and sharing of personal information</w:t>
      </w:r>
      <w:bookmarkEnd w:id="56"/>
    </w:p>
    <w:p w14:paraId="42412F56" w14:textId="133B3BAA" w:rsidR="00525207" w:rsidRDefault="00AF725F" w:rsidP="00525207">
      <w:r>
        <w:rPr>
          <w:lang w:eastAsia="en-GB"/>
        </w:rPr>
        <w:t>We</w:t>
      </w:r>
      <w:r w:rsidR="00525207" w:rsidRPr="0034473D">
        <w:rPr>
          <w:lang w:eastAsia="en-GB"/>
        </w:rPr>
        <w:t xml:space="preserve"> sometimes need to share information with other organisations, for example</w:t>
      </w:r>
      <w:r w:rsidR="00525207">
        <w:t xml:space="preserve">, if </w:t>
      </w:r>
      <w:r>
        <w:t xml:space="preserve">we </w:t>
      </w:r>
      <w:r w:rsidR="00525207" w:rsidRPr="0034473D">
        <w:t xml:space="preserve"> </w:t>
      </w:r>
      <w:r>
        <w:t>are</w:t>
      </w:r>
      <w:r w:rsidR="00525207" w:rsidRPr="0034473D">
        <w:t xml:space="preserve"> under a duty to disclose or share a data subject's personal data in order to comply with any legal or regulatory requirements</w:t>
      </w:r>
      <w:r w:rsidR="00525207">
        <w:t xml:space="preserve"> </w:t>
      </w:r>
      <w:r w:rsidR="00525207" w:rsidRPr="0034473D">
        <w:t xml:space="preserve">to protect rights, property or safety of staff, Commissioners, </w:t>
      </w:r>
      <w:r w:rsidR="00525207">
        <w:t>c</w:t>
      </w:r>
      <w:r w:rsidR="00525207" w:rsidRPr="0034473D">
        <w:t xml:space="preserve">ommittee members, stakeholders, suppliers or others (including those that </w:t>
      </w:r>
      <w:r>
        <w:t>we</w:t>
      </w:r>
      <w:r w:rsidR="00525207" w:rsidRPr="0034473D">
        <w:t xml:space="preserve"> work with, advise or support)</w:t>
      </w:r>
      <w:r w:rsidR="00525207">
        <w:t>.</w:t>
      </w:r>
    </w:p>
    <w:p w14:paraId="59C1DCAB" w14:textId="7E27FF25" w:rsidR="00525207" w:rsidRPr="0034473D" w:rsidRDefault="00525207" w:rsidP="00525207">
      <w:r w:rsidRPr="0034473D">
        <w:t>Where necessary or required</w:t>
      </w:r>
      <w:r>
        <w:t>,</w:t>
      </w:r>
      <w:r w:rsidRPr="0034473D">
        <w:t xml:space="preserve"> </w:t>
      </w:r>
      <w:r w:rsidR="00AF725F">
        <w:t>we</w:t>
      </w:r>
      <w:r w:rsidRPr="0034473D">
        <w:t xml:space="preserve"> may also share information with:</w:t>
      </w:r>
    </w:p>
    <w:p w14:paraId="7D3B7192" w14:textId="77777777" w:rsidR="00525207" w:rsidRPr="0034473D" w:rsidRDefault="00525207" w:rsidP="00A73344">
      <w:pPr>
        <w:pStyle w:val="ListBullet"/>
      </w:pPr>
      <w:r w:rsidRPr="0034473D">
        <w:t>family, associates and representatives of the person whose personal data it is processing</w:t>
      </w:r>
    </w:p>
    <w:p w14:paraId="6C80EBFE" w14:textId="77777777" w:rsidR="00525207" w:rsidRPr="0034473D" w:rsidRDefault="00525207" w:rsidP="00A73344">
      <w:pPr>
        <w:pStyle w:val="ListBullet"/>
      </w:pPr>
      <w:r w:rsidRPr="0034473D">
        <w:t>professional advisers and consultants</w:t>
      </w:r>
    </w:p>
    <w:p w14:paraId="28EA5627" w14:textId="77777777" w:rsidR="00525207" w:rsidRPr="0034473D" w:rsidRDefault="00525207" w:rsidP="00A73344">
      <w:pPr>
        <w:pStyle w:val="ListBullet"/>
      </w:pPr>
      <w:r w:rsidRPr="0034473D">
        <w:t>service providers/suppliers</w:t>
      </w:r>
    </w:p>
    <w:p w14:paraId="40F7D8C8" w14:textId="77777777" w:rsidR="00525207" w:rsidRPr="0034473D" w:rsidRDefault="00525207" w:rsidP="00A73344">
      <w:pPr>
        <w:pStyle w:val="ListBullet"/>
      </w:pPr>
      <w:r w:rsidRPr="0034473D">
        <w:t>police forces</w:t>
      </w:r>
    </w:p>
    <w:p w14:paraId="7F44367C" w14:textId="77777777" w:rsidR="00525207" w:rsidRPr="0034473D" w:rsidRDefault="00525207" w:rsidP="00A73344">
      <w:pPr>
        <w:pStyle w:val="ListBullet"/>
      </w:pPr>
      <w:r w:rsidRPr="0034473D">
        <w:t>examining bodies</w:t>
      </w:r>
    </w:p>
    <w:p w14:paraId="76EB3E56" w14:textId="77777777" w:rsidR="00525207" w:rsidRPr="0034473D" w:rsidRDefault="00525207" w:rsidP="00A73344">
      <w:pPr>
        <w:pStyle w:val="ListBullet"/>
      </w:pPr>
      <w:r w:rsidRPr="0034473D">
        <w:t>central government</w:t>
      </w:r>
    </w:p>
    <w:p w14:paraId="39C35CDB" w14:textId="77777777" w:rsidR="00525207" w:rsidRDefault="00525207" w:rsidP="00A73344">
      <w:pPr>
        <w:pStyle w:val="ListBullet"/>
      </w:pPr>
      <w:r w:rsidRPr="00E33BAC">
        <w:t>financial organisations</w:t>
      </w:r>
    </w:p>
    <w:p w14:paraId="16CE21E4" w14:textId="77777777" w:rsidR="00525207" w:rsidRPr="00447D95" w:rsidRDefault="00525207" w:rsidP="00A73344">
      <w:pPr>
        <w:pStyle w:val="ListBullet"/>
      </w:pPr>
      <w:r w:rsidRPr="00447D95">
        <w:t>persons making an enquiry or complaint</w:t>
      </w:r>
    </w:p>
    <w:p w14:paraId="7CF6E39E" w14:textId="77777777" w:rsidR="00525207" w:rsidRPr="0034473D" w:rsidRDefault="00525207" w:rsidP="00A73344">
      <w:pPr>
        <w:pStyle w:val="ListBullet"/>
      </w:pPr>
      <w:r w:rsidRPr="0034473D">
        <w:t>organisation</w:t>
      </w:r>
      <w:r>
        <w:t>s</w:t>
      </w:r>
      <w:r w:rsidRPr="0034473D">
        <w:t xml:space="preserve"> subject to a complaint or assessment</w:t>
      </w:r>
    </w:p>
    <w:p w14:paraId="268722A8" w14:textId="77777777" w:rsidR="00525207" w:rsidRPr="0034473D" w:rsidRDefault="00525207" w:rsidP="00A73344">
      <w:pPr>
        <w:pStyle w:val="ListBullet"/>
      </w:pPr>
      <w:r w:rsidRPr="0034473D">
        <w:t>prosecuting authorities</w:t>
      </w:r>
    </w:p>
    <w:p w14:paraId="29493D0E" w14:textId="77777777" w:rsidR="00525207" w:rsidRPr="0034473D" w:rsidRDefault="00525207" w:rsidP="00A73344">
      <w:pPr>
        <w:pStyle w:val="ListBullet"/>
      </w:pPr>
      <w:r w:rsidRPr="0034473D">
        <w:t>courts</w:t>
      </w:r>
      <w:r>
        <w:t>, and</w:t>
      </w:r>
    </w:p>
    <w:p w14:paraId="79B81A80" w14:textId="77777777" w:rsidR="00525207" w:rsidRPr="0034473D" w:rsidRDefault="00525207" w:rsidP="00A73344">
      <w:pPr>
        <w:pStyle w:val="ListBullet"/>
      </w:pPr>
      <w:proofErr w:type="gramStart"/>
      <w:r w:rsidRPr="0034473D">
        <w:t>ombudsman</w:t>
      </w:r>
      <w:proofErr w:type="gramEnd"/>
      <w:r w:rsidRPr="0034473D">
        <w:t xml:space="preserve"> or regulatory authorities</w:t>
      </w:r>
      <w:r>
        <w:t>.</w:t>
      </w:r>
    </w:p>
    <w:p w14:paraId="26DD873B" w14:textId="77777777" w:rsidR="00525207" w:rsidRPr="00A73344" w:rsidRDefault="00525207" w:rsidP="00A73344">
      <w:pPr>
        <w:pStyle w:val="Heading2"/>
      </w:pPr>
      <w:bookmarkStart w:id="57" w:name="_Toc499545073"/>
      <w:bookmarkStart w:id="58" w:name="_Toc53504297"/>
      <w:r w:rsidRPr="00A73344">
        <w:t>Restrictions on disclosing certain information</w:t>
      </w:r>
      <w:bookmarkEnd w:id="57"/>
      <w:bookmarkEnd w:id="58"/>
      <w:r w:rsidRPr="00A73344">
        <w:t xml:space="preserve"> </w:t>
      </w:r>
    </w:p>
    <w:p w14:paraId="1B99971C" w14:textId="77777777" w:rsidR="00525207" w:rsidRPr="0034473D" w:rsidRDefault="00525207" w:rsidP="00525207">
      <w:r w:rsidRPr="0034473D">
        <w:t>Some legislation restricts disclosure of information, for example, the Gender Recognition Act 2004 and the Equality Act 2010</w:t>
      </w:r>
      <w:r>
        <w:t>.</w:t>
      </w:r>
    </w:p>
    <w:p w14:paraId="6E46DB3F" w14:textId="77777777" w:rsidR="00525207" w:rsidRPr="00A73344" w:rsidRDefault="00525207" w:rsidP="00525207">
      <w:pPr>
        <w:rPr>
          <w:b/>
        </w:rPr>
      </w:pPr>
      <w:r w:rsidRPr="00A73344">
        <w:rPr>
          <w:b/>
        </w:rPr>
        <w:t>Gender Recognition Act 2004</w:t>
      </w:r>
    </w:p>
    <w:p w14:paraId="2F55E411" w14:textId="77777777" w:rsidR="00525207" w:rsidRPr="0034473D" w:rsidRDefault="00525207" w:rsidP="00525207">
      <w:r w:rsidRPr="0034473D">
        <w:t>The Gender Recognition Act makes it an offence for a person who has acquired protected information in an official capacity to disclose that information to any other person. The legislation does permit disclosure in certain circumstances.</w:t>
      </w:r>
    </w:p>
    <w:p w14:paraId="0D1B3479" w14:textId="77777777" w:rsidR="00525207" w:rsidRPr="00A73344" w:rsidRDefault="00525207" w:rsidP="00525207">
      <w:pPr>
        <w:rPr>
          <w:b/>
        </w:rPr>
      </w:pPr>
      <w:r w:rsidRPr="00A73344">
        <w:rPr>
          <w:b/>
        </w:rPr>
        <w:t>The Equality Act 2006</w:t>
      </w:r>
    </w:p>
    <w:p w14:paraId="67B8C6B1" w14:textId="40DA4231" w:rsidR="00A73344" w:rsidRDefault="00525207" w:rsidP="00525207">
      <w:r w:rsidRPr="0034473D">
        <w:lastRenderedPageBreak/>
        <w:t xml:space="preserve">The Equality Act limits information that can be shared externally where </w:t>
      </w:r>
      <w:r w:rsidR="00010BF0">
        <w:t>we</w:t>
      </w:r>
      <w:r w:rsidR="00AF725F">
        <w:t xml:space="preserve"> have</w:t>
      </w:r>
      <w:r w:rsidRPr="0034473D">
        <w:t xml:space="preserve"> obtained it by undertaking </w:t>
      </w:r>
      <w:r w:rsidR="00AF725F">
        <w:t>our</w:t>
      </w:r>
      <w:r w:rsidRPr="0034473D">
        <w:t xml:space="preserve"> functions, in particular where information has been gathered in the course of an inquiry under section 16, an investigation under section 20, an assessment under section 31, an agreement under section 23 or a notice under section 32. The legislation does permit disclosure in certain circumstances.</w:t>
      </w:r>
    </w:p>
    <w:p w14:paraId="36AB721B" w14:textId="77777777" w:rsidR="00A73344" w:rsidRDefault="00A73344" w:rsidP="00A73344"/>
    <w:p w14:paraId="6A454EAC" w14:textId="77777777" w:rsidR="00525207" w:rsidRPr="008D6AAE" w:rsidRDefault="00525207" w:rsidP="00A73344">
      <w:pPr>
        <w:pStyle w:val="Heading1"/>
        <w:rPr>
          <w:rFonts w:ascii="Arial" w:hAnsi="Arial" w:cs="Arial"/>
          <w:sz w:val="24"/>
          <w:szCs w:val="24"/>
          <w:lang w:eastAsia="en-GB"/>
        </w:rPr>
      </w:pPr>
      <w:bookmarkStart w:id="59" w:name="_Toc53504298"/>
      <w:r w:rsidRPr="0034473D">
        <w:lastRenderedPageBreak/>
        <w:t>Glossary of terms</w:t>
      </w:r>
      <w:bookmarkEnd w:id="59"/>
    </w:p>
    <w:p w14:paraId="7FE806A7" w14:textId="77777777" w:rsidR="00525207" w:rsidRPr="0034473D" w:rsidRDefault="00525207" w:rsidP="00525207">
      <w:r w:rsidRPr="0034473D">
        <w:t xml:space="preserve">The following definitions are used in this policy and </w:t>
      </w:r>
      <w:r>
        <w:t>will</w:t>
      </w:r>
      <w:r w:rsidRPr="0034473D">
        <w:t xml:space="preserve"> mean the following: </w:t>
      </w:r>
    </w:p>
    <w:p w14:paraId="035443A3" w14:textId="77777777" w:rsidR="00525207" w:rsidRDefault="00525207" w:rsidP="00525207">
      <w:pPr>
        <w:rPr>
          <w:b/>
          <w:lang w:eastAsia="en-GB"/>
        </w:rPr>
      </w:pPr>
      <w:proofErr w:type="spellStart"/>
      <w:r>
        <w:rPr>
          <w:b/>
        </w:rPr>
        <w:t>Anonymisation</w:t>
      </w:r>
      <w:proofErr w:type="spellEnd"/>
      <w:r>
        <w:t>:</w:t>
      </w:r>
      <w:r w:rsidRPr="005459B4">
        <w:t xml:space="preserve"> the</w:t>
      </w:r>
      <w:r>
        <w:rPr>
          <w:b/>
        </w:rPr>
        <w:t xml:space="preserve"> </w:t>
      </w:r>
      <w:r w:rsidRPr="00A87FD0">
        <w:t>process of irreversibly</w:t>
      </w:r>
      <w:r w:rsidRPr="005459B4">
        <w:t xml:space="preserve"> de-identif</w:t>
      </w:r>
      <w:r>
        <w:t>ying personal data so that an individual</w:t>
      </w:r>
      <w:r w:rsidRPr="005459B4">
        <w:t xml:space="preserve"> cannot be identified</w:t>
      </w:r>
      <w:r>
        <w:t xml:space="preserve"> from the data.</w:t>
      </w:r>
    </w:p>
    <w:p w14:paraId="52B36735" w14:textId="77777777" w:rsidR="00525207" w:rsidRPr="00407DD9" w:rsidRDefault="00525207" w:rsidP="00525207">
      <w:r w:rsidRPr="00407DD9">
        <w:rPr>
          <w:b/>
        </w:rPr>
        <w:t>Consent</w:t>
      </w:r>
      <w:r>
        <w:t>:</w:t>
      </w:r>
      <w:r w:rsidRPr="00407DD9">
        <w:t xml:space="preserve"> freely given, specifi</w:t>
      </w:r>
      <w:r>
        <w:t>c, informed and unambiguous indication</w:t>
      </w:r>
      <w:r w:rsidRPr="00407DD9">
        <w:t xml:space="preserve"> </w:t>
      </w:r>
      <w:r>
        <w:t>of wishes by a</w:t>
      </w:r>
      <w:r w:rsidRPr="00407DD9">
        <w:t xml:space="preserve"> statement or </w:t>
      </w:r>
      <w:r>
        <w:t xml:space="preserve">clear affirmative </w:t>
      </w:r>
      <w:r w:rsidRPr="00407DD9">
        <w:t>action signifying agreement</w:t>
      </w:r>
      <w:r>
        <w:t>.</w:t>
      </w:r>
    </w:p>
    <w:p w14:paraId="478B2F6D" w14:textId="77777777" w:rsidR="00525207" w:rsidRPr="0034473D" w:rsidRDefault="00525207" w:rsidP="00525207">
      <w:r w:rsidRPr="0034473D">
        <w:rPr>
          <w:b/>
        </w:rPr>
        <w:t>Data</w:t>
      </w:r>
      <w:r>
        <w:t>:</w:t>
      </w:r>
      <w:r w:rsidRPr="0034473D">
        <w:t xml:space="preserve"> information which is stored electronically, on a computer or in certain paper-based filing systems.</w:t>
      </w:r>
    </w:p>
    <w:p w14:paraId="41A74AE7" w14:textId="77777777" w:rsidR="00525207" w:rsidRPr="00407DD9" w:rsidRDefault="00525207" w:rsidP="00525207">
      <w:r w:rsidRPr="00407DD9">
        <w:rPr>
          <w:b/>
        </w:rPr>
        <w:t xml:space="preserve">Data </w:t>
      </w:r>
      <w:r>
        <w:rPr>
          <w:b/>
        </w:rPr>
        <w:t>c</w:t>
      </w:r>
      <w:r w:rsidRPr="00407DD9">
        <w:rPr>
          <w:b/>
        </w:rPr>
        <w:t>ontroller</w:t>
      </w:r>
      <w:r>
        <w:t>:</w:t>
      </w:r>
      <w:r w:rsidRPr="00407DD9">
        <w:t xml:space="preserve"> the </w:t>
      </w:r>
      <w:r>
        <w:t xml:space="preserve">legal </w:t>
      </w:r>
      <w:r w:rsidRPr="00407DD9">
        <w:t>entity</w:t>
      </w:r>
      <w:r>
        <w:t xml:space="preserve"> (organisation)</w:t>
      </w:r>
      <w:r w:rsidRPr="00407DD9">
        <w:t xml:space="preserve"> that determines the purposes, conditions and means of the processing of personal data</w:t>
      </w:r>
      <w:r>
        <w:t>.</w:t>
      </w:r>
    </w:p>
    <w:p w14:paraId="49F165BF" w14:textId="77777777" w:rsidR="00525207" w:rsidRPr="00407DD9" w:rsidRDefault="00525207" w:rsidP="00525207">
      <w:r>
        <w:rPr>
          <w:b/>
        </w:rPr>
        <w:t xml:space="preserve">Data processor: </w:t>
      </w:r>
      <w:r w:rsidRPr="00407DD9">
        <w:t xml:space="preserve">the </w:t>
      </w:r>
      <w:r>
        <w:t xml:space="preserve">legal </w:t>
      </w:r>
      <w:r w:rsidRPr="00407DD9">
        <w:t>entity</w:t>
      </w:r>
      <w:r>
        <w:t xml:space="preserve"> (or organisation)</w:t>
      </w:r>
      <w:r w:rsidRPr="00407DD9">
        <w:t xml:space="preserve"> that processes data o</w:t>
      </w:r>
      <w:r>
        <w:t>n behalf of the data controller.</w:t>
      </w:r>
    </w:p>
    <w:p w14:paraId="2DFDC91C" w14:textId="14C17518" w:rsidR="00AF725F" w:rsidRPr="00AF725F" w:rsidRDefault="00AF725F" w:rsidP="00525207">
      <w:pPr>
        <w:rPr>
          <w:rFonts w:cstheme="minorHAnsi"/>
          <w:b/>
        </w:rPr>
      </w:pPr>
      <w:r w:rsidRPr="00AF725F">
        <w:rPr>
          <w:rFonts w:cstheme="minorHAnsi"/>
          <w:b/>
        </w:rPr>
        <w:t xml:space="preserve">Data protection legislation: </w:t>
      </w:r>
      <w:bookmarkStart w:id="60" w:name="_Hlk77432844"/>
      <w:r w:rsidRPr="00D31364">
        <w:rPr>
          <w:rFonts w:cstheme="minorHAnsi"/>
          <w:szCs w:val="24"/>
        </w:rPr>
        <w:t>(</w:t>
      </w:r>
      <w:proofErr w:type="spellStart"/>
      <w:r w:rsidRPr="00D31364">
        <w:rPr>
          <w:rFonts w:cstheme="minorHAnsi"/>
          <w:szCs w:val="24"/>
        </w:rPr>
        <w:t>i</w:t>
      </w:r>
      <w:proofErr w:type="spellEnd"/>
      <w:r w:rsidRPr="00D31364">
        <w:rPr>
          <w:rFonts w:cstheme="minorHAnsi"/>
          <w:szCs w:val="24"/>
        </w:rPr>
        <w:t>) Data Protection Act 2018 (</w:t>
      </w:r>
      <w:r w:rsidRPr="00D31364">
        <w:rPr>
          <w:rFonts w:cstheme="minorHAnsi"/>
          <w:b/>
          <w:szCs w:val="24"/>
        </w:rPr>
        <w:t>DPA 18</w:t>
      </w:r>
      <w:r w:rsidRPr="00D31364">
        <w:rPr>
          <w:rFonts w:cstheme="minorHAnsi"/>
          <w:szCs w:val="24"/>
        </w:rPr>
        <w:t xml:space="preserve">) </w:t>
      </w:r>
      <w:r w:rsidRPr="00AF725F">
        <w:rPr>
          <w:rFonts w:cstheme="minorHAnsi"/>
          <w:szCs w:val="24"/>
        </w:rPr>
        <w:t xml:space="preserve">(ii) </w:t>
      </w:r>
      <w:r w:rsidRPr="00D31364">
        <w:rPr>
          <w:rFonts w:cstheme="minorHAnsi"/>
          <w:szCs w:val="24"/>
        </w:rPr>
        <w:t>the UK General Data Protection Regulation (</w:t>
      </w:r>
      <w:r w:rsidRPr="00D31364">
        <w:rPr>
          <w:rFonts w:cstheme="minorHAnsi"/>
          <w:b/>
          <w:szCs w:val="24"/>
        </w:rPr>
        <w:t>UK</w:t>
      </w:r>
      <w:r w:rsidRPr="00D31364">
        <w:rPr>
          <w:rFonts w:cstheme="minorHAnsi"/>
          <w:szCs w:val="24"/>
        </w:rPr>
        <w:t xml:space="preserve"> </w:t>
      </w:r>
      <w:r w:rsidRPr="00D31364">
        <w:rPr>
          <w:rFonts w:cstheme="minorHAnsi"/>
          <w:b/>
          <w:bCs/>
          <w:szCs w:val="24"/>
        </w:rPr>
        <w:t>GDPR</w:t>
      </w:r>
      <w:r w:rsidRPr="00D31364">
        <w:rPr>
          <w:rFonts w:cstheme="minorHAnsi"/>
          <w:szCs w:val="24"/>
        </w:rPr>
        <w:t xml:space="preserve">) (created by the Data Protection, Privacy and Electronic Communications (Amendments </w:t>
      </w:r>
      <w:proofErr w:type="spellStart"/>
      <w:r w:rsidRPr="00D31364">
        <w:rPr>
          <w:rFonts w:cstheme="minorHAnsi"/>
          <w:szCs w:val="24"/>
        </w:rPr>
        <w:t>etc</w:t>
      </w:r>
      <w:proofErr w:type="spellEnd"/>
      <w:r w:rsidRPr="00D31364">
        <w:rPr>
          <w:rFonts w:cstheme="minorHAnsi"/>
          <w:szCs w:val="24"/>
        </w:rPr>
        <w:t xml:space="preserve">) (EU Exit) Regulations 2019 (as amended)) </w:t>
      </w:r>
      <w:r>
        <w:rPr>
          <w:rFonts w:cstheme="minorHAnsi"/>
          <w:szCs w:val="24"/>
        </w:rPr>
        <w:t xml:space="preserve">and </w:t>
      </w:r>
      <w:r w:rsidRPr="00D31364">
        <w:rPr>
          <w:rFonts w:cstheme="minorHAnsi"/>
          <w:szCs w:val="24"/>
        </w:rPr>
        <w:t>(iii) all applicable Law relating to the processing of personal data and privacy;</w:t>
      </w:r>
      <w:bookmarkEnd w:id="60"/>
    </w:p>
    <w:p w14:paraId="4CD92475" w14:textId="7F4C5249" w:rsidR="00525207" w:rsidRPr="00407DD9" w:rsidRDefault="00525207" w:rsidP="00525207">
      <w:r w:rsidRPr="00407DD9">
        <w:rPr>
          <w:b/>
        </w:rPr>
        <w:t xml:space="preserve">Data </w:t>
      </w:r>
      <w:r>
        <w:rPr>
          <w:b/>
        </w:rPr>
        <w:t>p</w:t>
      </w:r>
      <w:r w:rsidRPr="00407DD9">
        <w:rPr>
          <w:b/>
        </w:rPr>
        <w:t xml:space="preserve">rotection </w:t>
      </w:r>
      <w:r>
        <w:rPr>
          <w:b/>
        </w:rPr>
        <w:t>o</w:t>
      </w:r>
      <w:r w:rsidRPr="00407DD9">
        <w:rPr>
          <w:b/>
        </w:rPr>
        <w:t>fficer</w:t>
      </w:r>
      <w:r>
        <w:t>: an expert on data protection</w:t>
      </w:r>
      <w:r w:rsidRPr="00407DD9">
        <w:t xml:space="preserve"> who works independently to </w:t>
      </w:r>
      <w:r>
        <w:t>advise an organisation on their compliance with data protection laws.</w:t>
      </w:r>
    </w:p>
    <w:p w14:paraId="41586EB3" w14:textId="77777777" w:rsidR="00525207" w:rsidRPr="00407DD9" w:rsidRDefault="00525207" w:rsidP="00525207">
      <w:r w:rsidRPr="00A307D7">
        <w:rPr>
          <w:b/>
        </w:rPr>
        <w:t xml:space="preserve">Data </w:t>
      </w:r>
      <w:r>
        <w:rPr>
          <w:b/>
        </w:rPr>
        <w:t>s</w:t>
      </w:r>
      <w:r w:rsidRPr="00A307D7">
        <w:rPr>
          <w:b/>
        </w:rPr>
        <w:t>ubject</w:t>
      </w:r>
      <w:r>
        <w:rPr>
          <w:b/>
        </w:rPr>
        <w:t>:</w:t>
      </w:r>
      <w:r>
        <w:t xml:space="preserve"> </w:t>
      </w:r>
      <w:r w:rsidRPr="00407DD9">
        <w:t xml:space="preserve">a </w:t>
      </w:r>
      <w:r>
        <w:t>living individual</w:t>
      </w:r>
      <w:r w:rsidRPr="00407DD9">
        <w:t xml:space="preserve"> whose personal data is processed by a controller or processor</w:t>
      </w:r>
      <w:r>
        <w:t>.</w:t>
      </w:r>
    </w:p>
    <w:p w14:paraId="789BACD4" w14:textId="77777777" w:rsidR="00525207" w:rsidRPr="00407DD9" w:rsidRDefault="00525207" w:rsidP="00525207">
      <w:r w:rsidRPr="00A307D7">
        <w:rPr>
          <w:b/>
        </w:rPr>
        <w:t xml:space="preserve">Personal </w:t>
      </w:r>
      <w:r>
        <w:rPr>
          <w:b/>
        </w:rPr>
        <w:t>d</w:t>
      </w:r>
      <w:r w:rsidRPr="00A307D7">
        <w:rPr>
          <w:b/>
        </w:rPr>
        <w:t>ata</w:t>
      </w:r>
      <w:r>
        <w:t>:</w:t>
      </w:r>
      <w:r w:rsidRPr="00407DD9">
        <w:t xml:space="preserve"> any information related to a n</w:t>
      </w:r>
      <w:r>
        <w:t xml:space="preserve">atural person (normally called data subjects) </w:t>
      </w:r>
      <w:r w:rsidRPr="00407DD9">
        <w:t>that can be used to directly or indirectly identify the perso</w:t>
      </w:r>
      <w:r>
        <w:t>n.</w:t>
      </w:r>
    </w:p>
    <w:p w14:paraId="07423F20" w14:textId="77777777" w:rsidR="00525207" w:rsidRPr="00407DD9" w:rsidRDefault="00525207" w:rsidP="00525207">
      <w:r w:rsidRPr="00A307D7">
        <w:rPr>
          <w:b/>
        </w:rPr>
        <w:t xml:space="preserve">Personal </w:t>
      </w:r>
      <w:r>
        <w:rPr>
          <w:b/>
        </w:rPr>
        <w:t>d</w:t>
      </w:r>
      <w:r w:rsidRPr="00A307D7">
        <w:rPr>
          <w:b/>
        </w:rPr>
        <w:t xml:space="preserve">ata </w:t>
      </w:r>
      <w:r>
        <w:rPr>
          <w:b/>
        </w:rPr>
        <w:t>b</w:t>
      </w:r>
      <w:r w:rsidRPr="00A307D7">
        <w:rPr>
          <w:b/>
        </w:rPr>
        <w:t>reach</w:t>
      </w:r>
      <w:r>
        <w:rPr>
          <w:b/>
        </w:rPr>
        <w:t>:</w:t>
      </w:r>
      <w:r w:rsidRPr="00407DD9">
        <w:t xml:space="preserve"> a breach of security leading to the accidental or unlawful destruction</w:t>
      </w:r>
      <w:r>
        <w:t>, loss, alteration, unauthorised disclosure of, or access to, personal data.</w:t>
      </w:r>
    </w:p>
    <w:p w14:paraId="137C56B7" w14:textId="77777777" w:rsidR="00525207" w:rsidRDefault="00525207" w:rsidP="00525207">
      <w:r>
        <w:rPr>
          <w:b/>
        </w:rPr>
        <w:t>Data protection</w:t>
      </w:r>
      <w:r w:rsidRPr="00A307D7">
        <w:rPr>
          <w:b/>
        </w:rPr>
        <w:t xml:space="preserve"> by </w:t>
      </w:r>
      <w:r>
        <w:rPr>
          <w:b/>
        </w:rPr>
        <w:t>d</w:t>
      </w:r>
      <w:r w:rsidRPr="00A307D7">
        <w:rPr>
          <w:b/>
        </w:rPr>
        <w:t>esign</w:t>
      </w:r>
      <w:r>
        <w:t>:</w:t>
      </w:r>
      <w:r w:rsidRPr="00407DD9">
        <w:t xml:space="preserve"> a principle that calls for data protection</w:t>
      </w:r>
      <w:r>
        <w:t xml:space="preserve"> to be</w:t>
      </w:r>
      <w:r w:rsidRPr="00407DD9">
        <w:t xml:space="preserve"> </w:t>
      </w:r>
      <w:r>
        <w:t>considered at the start of, and throughout, any new project including systems, services, products or processes.</w:t>
      </w:r>
    </w:p>
    <w:p w14:paraId="241764C7" w14:textId="77777777" w:rsidR="00525207" w:rsidRPr="00407DD9" w:rsidRDefault="00525207" w:rsidP="00525207">
      <w:r w:rsidRPr="003F5A44">
        <w:rPr>
          <w:b/>
        </w:rPr>
        <w:lastRenderedPageBreak/>
        <w:t>Data protection by default:</w:t>
      </w:r>
      <w:r>
        <w:t xml:space="preserve"> a principle that calls for the default position to restrict or limit processing, for example, access is set to the minimum necessary.</w:t>
      </w:r>
    </w:p>
    <w:p w14:paraId="3081E5E9" w14:textId="77777777" w:rsidR="00525207" w:rsidRPr="00407DD9" w:rsidRDefault="00525207" w:rsidP="00525207">
      <w:r>
        <w:rPr>
          <w:b/>
        </w:rPr>
        <w:t>Data protection impact assessments</w:t>
      </w:r>
      <w:r>
        <w:t>:</w:t>
      </w:r>
      <w:r w:rsidRPr="00407DD9">
        <w:t xml:space="preserve"> a tool used to identify and reduce the privacy risks of entities by analysing the personal data that are processed and the polici</w:t>
      </w:r>
      <w:r>
        <w:t>es in place to protect the data.</w:t>
      </w:r>
    </w:p>
    <w:p w14:paraId="025DD74B" w14:textId="77777777" w:rsidR="00525207" w:rsidRPr="00407DD9" w:rsidRDefault="00525207" w:rsidP="00525207">
      <w:r w:rsidRPr="00A307D7">
        <w:rPr>
          <w:b/>
        </w:rPr>
        <w:t>Processing</w:t>
      </w:r>
      <w:r>
        <w:t>:</w:t>
      </w:r>
      <w:r w:rsidRPr="00407DD9">
        <w:t xml:space="preserve"> any operation</w:t>
      </w:r>
      <w:r>
        <w:t xml:space="preserve"> or set of operations</w:t>
      </w:r>
      <w:r w:rsidRPr="00407DD9">
        <w:t xml:space="preserve"> performed on personal data, whether or not by automated means, including</w:t>
      </w:r>
      <w:r>
        <w:t>, for example,</w:t>
      </w:r>
      <w:r w:rsidRPr="00407DD9">
        <w:t xml:space="preserve"> collection, use, recording, </w:t>
      </w:r>
      <w:r>
        <w:t>storing, disclosing and erasing</w:t>
      </w:r>
      <w:r w:rsidRPr="00407DD9">
        <w:t>.</w:t>
      </w:r>
    </w:p>
    <w:p w14:paraId="6518FBD6" w14:textId="77777777" w:rsidR="00525207" w:rsidRDefault="00525207" w:rsidP="00525207">
      <w:proofErr w:type="spellStart"/>
      <w:r w:rsidRPr="00A307D7">
        <w:rPr>
          <w:b/>
        </w:rPr>
        <w:t>Pseudonymisation</w:t>
      </w:r>
      <w:proofErr w:type="spellEnd"/>
      <w:r>
        <w:t>:</w:t>
      </w:r>
      <w:r w:rsidRPr="00407DD9">
        <w:t xml:space="preserve"> the processing of personal data s</w:t>
      </w:r>
      <w:r>
        <w:t>o</w:t>
      </w:r>
      <w:r w:rsidRPr="00407DD9">
        <w:t xml:space="preserve"> that it can no longer</w:t>
      </w:r>
      <w:r>
        <w:t xml:space="preserve"> </w:t>
      </w:r>
      <w:r w:rsidRPr="00407DD9">
        <w:t xml:space="preserve">be attributed to a single data subject without the use of additional data, so long as </w:t>
      </w:r>
      <w:r>
        <w:t>the</w:t>
      </w:r>
      <w:r w:rsidRPr="00407DD9">
        <w:t xml:space="preserve"> additional data stays sep</w:t>
      </w:r>
      <w:r>
        <w:t>arate to ensure non-attribution.</w:t>
      </w:r>
    </w:p>
    <w:p w14:paraId="0A82254D" w14:textId="77777777" w:rsidR="00525207" w:rsidRPr="00A73344" w:rsidRDefault="00525207" w:rsidP="00A73344">
      <w:pPr>
        <w:rPr>
          <w:rFonts w:ascii="Arial" w:hAnsi="Arial" w:cs="Arial"/>
          <w:color w:val="000000"/>
          <w:szCs w:val="24"/>
          <w:lang w:eastAsia="en-GB"/>
        </w:rPr>
      </w:pPr>
      <w:r>
        <w:rPr>
          <w:lang w:eastAsia="en-GB"/>
        </w:rPr>
        <w:br w:type="page"/>
      </w:r>
    </w:p>
    <w:p w14:paraId="3DDDBC50" w14:textId="77777777" w:rsidR="00525207" w:rsidRPr="0034473D" w:rsidRDefault="00525207" w:rsidP="00A73344">
      <w:pPr>
        <w:pStyle w:val="Heading1"/>
      </w:pPr>
      <w:bookmarkStart w:id="61" w:name="_Toc53504299"/>
      <w:r w:rsidRPr="0034473D">
        <w:lastRenderedPageBreak/>
        <w:t xml:space="preserve">Changes to the </w:t>
      </w:r>
      <w:r>
        <w:t>p</w:t>
      </w:r>
      <w:r w:rsidRPr="0034473D">
        <w:t>olicy</w:t>
      </w:r>
      <w:bookmarkEnd w:id="61"/>
    </w:p>
    <w:p w14:paraId="7E8E0B85" w14:textId="040977CB" w:rsidR="00525207" w:rsidRDefault="00AF725F" w:rsidP="00525207">
      <w:pPr>
        <w:rPr>
          <w:bCs/>
        </w:rPr>
      </w:pPr>
      <w:bookmarkStart w:id="62" w:name="_Toc499545075"/>
      <w:bookmarkStart w:id="63" w:name="_Toc511208716"/>
      <w:r>
        <w:t>We</w:t>
      </w:r>
      <w:r w:rsidR="00525207" w:rsidRPr="0034473D">
        <w:t xml:space="preserve"> reserve the right to change this policy at any time. Where appropriate, </w:t>
      </w:r>
      <w:r>
        <w:t>we</w:t>
      </w:r>
      <w:r w:rsidR="00525207" w:rsidRPr="0034473D">
        <w:t xml:space="preserve"> will notify the data subject.</w:t>
      </w:r>
      <w:bookmarkEnd w:id="62"/>
      <w:bookmarkEnd w:id="63"/>
    </w:p>
    <w:p w14:paraId="2A5CF1F1" w14:textId="77777777" w:rsidR="00525207" w:rsidRDefault="00525207" w:rsidP="00525207">
      <w:pPr>
        <w:rPr>
          <w:rFonts w:ascii="Arial" w:hAnsi="Arial" w:cs="Arial"/>
          <w:szCs w:val="24"/>
          <w:lang w:eastAsia="en-GB"/>
        </w:rPr>
      </w:pPr>
      <w:r>
        <w:rPr>
          <w:rFonts w:ascii="Arial" w:hAnsi="Arial" w:cs="Arial"/>
          <w:bCs/>
          <w:szCs w:val="24"/>
          <w:lang w:eastAsia="en-GB"/>
        </w:rPr>
        <w:br w:type="page"/>
      </w:r>
    </w:p>
    <w:p w14:paraId="4ABA7182" w14:textId="77777777" w:rsidR="00525207" w:rsidRPr="009D0BF2" w:rsidRDefault="00525207" w:rsidP="00A73344">
      <w:pPr>
        <w:pStyle w:val="Heading1"/>
      </w:pPr>
      <w:bookmarkStart w:id="64" w:name="_Toc406140625"/>
      <w:bookmarkStart w:id="65" w:name="_Toc53504300"/>
      <w:r w:rsidRPr="009D0BF2">
        <w:lastRenderedPageBreak/>
        <w:t>Contacts</w:t>
      </w:r>
      <w:bookmarkEnd w:id="64"/>
      <w:bookmarkEnd w:id="65"/>
    </w:p>
    <w:p w14:paraId="6DA16296" w14:textId="77777777" w:rsidR="00525207" w:rsidRPr="009D0BF2" w:rsidRDefault="00525207" w:rsidP="00525207">
      <w:pPr>
        <w:pStyle w:val="Parabase"/>
        <w:rPr>
          <w:kern w:val="28"/>
        </w:rPr>
      </w:pPr>
      <w:r w:rsidRPr="009D0BF2">
        <w:rPr>
          <w:kern w:val="28"/>
        </w:rPr>
        <w:t xml:space="preserve">This publication and related equality and human rights resources are available from </w:t>
      </w:r>
      <w:hyperlink r:id="rId10" w:history="1">
        <w:r w:rsidRPr="008116DB">
          <w:rPr>
            <w:rStyle w:val="Hyperlink"/>
            <w:kern w:val="28"/>
          </w:rPr>
          <w:t>our website</w:t>
        </w:r>
      </w:hyperlink>
      <w:r>
        <w:rPr>
          <w:kern w:val="28"/>
        </w:rPr>
        <w:t xml:space="preserve">. </w:t>
      </w:r>
    </w:p>
    <w:p w14:paraId="635016F1" w14:textId="77777777" w:rsidR="00525207" w:rsidRPr="009D0BF2" w:rsidRDefault="00525207" w:rsidP="00525207">
      <w:pPr>
        <w:pStyle w:val="Parass"/>
        <w:rPr>
          <w:kern w:val="28"/>
        </w:rPr>
      </w:pPr>
      <w:r w:rsidRPr="009D0BF2">
        <w:rPr>
          <w:kern w:val="28"/>
        </w:rPr>
        <w:t xml:space="preserve">Questions and comments regarding this publication may be addressed to: </w:t>
      </w:r>
      <w:hyperlink r:id="rId11" w:history="1">
        <w:r w:rsidRPr="00671F8C">
          <w:rPr>
            <w:rStyle w:val="Hyperlink"/>
            <w:kern w:val="28"/>
          </w:rPr>
          <w:t>correspondence@equalityhumanrights.com</w:t>
        </w:r>
      </w:hyperlink>
      <w:r w:rsidRPr="009D0BF2">
        <w:rPr>
          <w:kern w:val="28"/>
        </w:rPr>
        <w:t xml:space="preserve">. </w:t>
      </w:r>
      <w:r>
        <w:rPr>
          <w:kern w:val="28"/>
        </w:rPr>
        <w:t>We welcome</w:t>
      </w:r>
      <w:r w:rsidRPr="009D0BF2">
        <w:rPr>
          <w:kern w:val="28"/>
        </w:rPr>
        <w:t xml:space="preserve"> your feedback</w:t>
      </w:r>
      <w:r>
        <w:rPr>
          <w:kern w:val="28"/>
        </w:rPr>
        <w:t>.</w:t>
      </w:r>
    </w:p>
    <w:p w14:paraId="128CFE89" w14:textId="77777777" w:rsidR="00525207" w:rsidRDefault="00525207" w:rsidP="00525207">
      <w:pPr>
        <w:pStyle w:val="Parabase"/>
        <w:rPr>
          <w:rStyle w:val="Hyperlink"/>
          <w:kern w:val="28"/>
        </w:rPr>
      </w:pPr>
      <w:r w:rsidRPr="00D74E35">
        <w:t xml:space="preserve">For information on accessing </w:t>
      </w:r>
      <w:r>
        <w:t>one of our</w:t>
      </w:r>
      <w:r w:rsidRPr="00D74E35">
        <w:t xml:space="preserve"> publication</w:t>
      </w:r>
      <w:r>
        <w:t>s</w:t>
      </w:r>
      <w:r w:rsidRPr="00D74E35">
        <w:t xml:space="preserve"> in an alternative format, please contact: </w:t>
      </w:r>
      <w:hyperlink r:id="rId12" w:history="1">
        <w:r w:rsidRPr="00D74E35">
          <w:rPr>
            <w:rStyle w:val="Hyperlink"/>
            <w:kern w:val="28"/>
          </w:rPr>
          <w:t>correspondence@equalityhumanrights.com</w:t>
        </w:r>
      </w:hyperlink>
      <w:r w:rsidRPr="00D74E35">
        <w:rPr>
          <w:rStyle w:val="Hyperlink"/>
          <w:kern w:val="28"/>
        </w:rPr>
        <w:t>.</w:t>
      </w:r>
    </w:p>
    <w:p w14:paraId="460D7F39" w14:textId="77777777" w:rsidR="00525207" w:rsidRPr="008116DB" w:rsidRDefault="00525207" w:rsidP="00525207">
      <w:pPr>
        <w:pStyle w:val="Parasection"/>
        <w:rPr>
          <w:rStyle w:val="Hyperlink"/>
          <w:kern w:val="28"/>
        </w:rPr>
      </w:pPr>
      <w:r>
        <w:rPr>
          <w:rStyle w:val="Hyperlink"/>
          <w:kern w:val="28"/>
        </w:rPr>
        <w:t xml:space="preserve">Keep up to date with our latest news, events and publications by </w:t>
      </w:r>
      <w:hyperlink r:id="rId13" w:history="1">
        <w:r w:rsidRPr="008116DB">
          <w:rPr>
            <w:rStyle w:val="Hyperlink"/>
            <w:kern w:val="28"/>
          </w:rPr>
          <w:t>signing up to our e-newsletter</w:t>
        </w:r>
      </w:hyperlink>
      <w:r>
        <w:rPr>
          <w:rStyle w:val="Hyperlink"/>
          <w:kern w:val="28"/>
        </w:rPr>
        <w:t xml:space="preserve">. </w:t>
      </w:r>
    </w:p>
    <w:p w14:paraId="0ED6830E" w14:textId="77777777" w:rsidR="00525207" w:rsidRPr="00E460A5" w:rsidRDefault="00525207" w:rsidP="00525207">
      <w:pPr>
        <w:pStyle w:val="Parass"/>
        <w:spacing w:after="120"/>
        <w:rPr>
          <w:b/>
          <w:kern w:val="28"/>
        </w:rPr>
      </w:pPr>
      <w:r w:rsidRPr="00E460A5">
        <w:rPr>
          <w:b/>
          <w:kern w:val="28"/>
        </w:rPr>
        <w:t>EASS</w:t>
      </w:r>
    </w:p>
    <w:p w14:paraId="566E5F4A" w14:textId="77777777" w:rsidR="00525207" w:rsidRPr="009D0BF2" w:rsidRDefault="00525207" w:rsidP="00525207">
      <w:pPr>
        <w:pStyle w:val="Parass"/>
        <w:rPr>
          <w:kern w:val="28"/>
        </w:rPr>
      </w:pPr>
      <w:r w:rsidRPr="009D0BF2">
        <w:rPr>
          <w:kern w:val="28"/>
        </w:rPr>
        <w:t xml:space="preserve">For advice, information or guidance on equality, discrimination or human rights issues, please contact the </w:t>
      </w:r>
      <w:hyperlink r:id="rId14" w:history="1">
        <w:r w:rsidRPr="008116DB">
          <w:rPr>
            <w:rStyle w:val="Hyperlink"/>
            <w:kern w:val="28"/>
          </w:rPr>
          <w:t>Equality Advisory and Support Service</w:t>
        </w:r>
      </w:hyperlink>
      <w:r w:rsidRPr="009D0BF2">
        <w:rPr>
          <w:kern w:val="28"/>
        </w:rPr>
        <w:t>, a free and independent service.</w:t>
      </w:r>
    </w:p>
    <w:p w14:paraId="634A845B" w14:textId="77777777" w:rsidR="00525207" w:rsidRPr="009D0BF2" w:rsidRDefault="00525207" w:rsidP="00525207">
      <w:pPr>
        <w:pStyle w:val="Parabase"/>
        <w:rPr>
          <w:color w:val="000000"/>
          <w:kern w:val="28"/>
        </w:rPr>
      </w:pPr>
      <w:r w:rsidRPr="009D0BF2">
        <w:rPr>
          <w:color w:val="000000"/>
          <w:kern w:val="28"/>
        </w:rPr>
        <w:t xml:space="preserve">Telephone </w:t>
      </w:r>
      <w:r w:rsidRPr="009D0BF2">
        <w:rPr>
          <w:color w:val="000000"/>
          <w:kern w:val="28"/>
        </w:rPr>
        <w:tab/>
        <w:t>0808 800 0082</w:t>
      </w:r>
    </w:p>
    <w:p w14:paraId="3CC4752B" w14:textId="77777777" w:rsidR="00525207" w:rsidRPr="009D0BF2" w:rsidRDefault="00525207" w:rsidP="00525207">
      <w:pPr>
        <w:pStyle w:val="Parabase"/>
        <w:rPr>
          <w:color w:val="000000"/>
          <w:kern w:val="28"/>
        </w:rPr>
      </w:pPr>
      <w:r w:rsidRPr="009D0BF2">
        <w:rPr>
          <w:color w:val="000000"/>
          <w:kern w:val="28"/>
        </w:rPr>
        <w:t xml:space="preserve">Textphone </w:t>
      </w:r>
      <w:r w:rsidRPr="009D0BF2">
        <w:rPr>
          <w:color w:val="000000"/>
          <w:kern w:val="28"/>
        </w:rPr>
        <w:tab/>
        <w:t>0808 800 0084</w:t>
      </w:r>
    </w:p>
    <w:p w14:paraId="57CFD1DB" w14:textId="77777777" w:rsidR="00525207" w:rsidRPr="009D0BF2" w:rsidRDefault="00525207" w:rsidP="00525207">
      <w:pPr>
        <w:pStyle w:val="Parabase"/>
        <w:spacing w:after="0"/>
        <w:rPr>
          <w:color w:val="000000"/>
          <w:kern w:val="28"/>
        </w:rPr>
      </w:pPr>
      <w:r>
        <w:rPr>
          <w:color w:val="000000"/>
          <w:kern w:val="28"/>
        </w:rPr>
        <w:t xml:space="preserve">Hours </w:t>
      </w:r>
      <w:r>
        <w:rPr>
          <w:color w:val="000000"/>
          <w:kern w:val="28"/>
        </w:rPr>
        <w:tab/>
      </w:r>
      <w:r>
        <w:rPr>
          <w:color w:val="000000"/>
          <w:kern w:val="28"/>
        </w:rPr>
        <w:tab/>
        <w:t>09:00 to 19</w:t>
      </w:r>
      <w:r w:rsidRPr="009D0BF2">
        <w:rPr>
          <w:color w:val="000000"/>
          <w:kern w:val="28"/>
        </w:rPr>
        <w:t>:00 (Monday to Friday)</w:t>
      </w:r>
    </w:p>
    <w:p w14:paraId="5AB2933A" w14:textId="77777777" w:rsidR="00525207" w:rsidRPr="009D0BF2" w:rsidRDefault="00525207" w:rsidP="00525207">
      <w:pPr>
        <w:pStyle w:val="Parabase"/>
        <w:rPr>
          <w:color w:val="000000"/>
          <w:kern w:val="28"/>
        </w:rPr>
      </w:pPr>
      <w:r w:rsidRPr="009D0BF2">
        <w:rPr>
          <w:color w:val="000000"/>
          <w:kern w:val="28"/>
        </w:rPr>
        <w:tab/>
      </w:r>
      <w:r w:rsidRPr="009D0BF2">
        <w:rPr>
          <w:color w:val="000000"/>
          <w:kern w:val="28"/>
        </w:rPr>
        <w:tab/>
        <w:t>10:00 to 14:00 (Saturday)</w:t>
      </w:r>
    </w:p>
    <w:p w14:paraId="0FC6FBA7" w14:textId="77777777" w:rsidR="00525207" w:rsidRPr="009D0BF2" w:rsidRDefault="00525207" w:rsidP="00525207">
      <w:pPr>
        <w:pStyle w:val="Parabase"/>
        <w:spacing w:after="240"/>
        <w:rPr>
          <w:color w:val="000000"/>
          <w:kern w:val="28"/>
        </w:rPr>
      </w:pPr>
      <w:r w:rsidRPr="009D0BF2">
        <w:rPr>
          <w:color w:val="000000"/>
          <w:kern w:val="28"/>
        </w:rPr>
        <w:t xml:space="preserve">Post </w:t>
      </w:r>
      <w:r w:rsidRPr="009D0BF2">
        <w:rPr>
          <w:color w:val="000000"/>
          <w:kern w:val="28"/>
        </w:rPr>
        <w:tab/>
      </w:r>
      <w:r w:rsidRPr="009D0BF2">
        <w:rPr>
          <w:color w:val="000000"/>
          <w:kern w:val="28"/>
        </w:rPr>
        <w:tab/>
        <w:t xml:space="preserve">FREEPOST </w:t>
      </w:r>
      <w:r>
        <w:rPr>
          <w:color w:val="000000"/>
          <w:kern w:val="28"/>
        </w:rPr>
        <w:t xml:space="preserve">EASS HELPLINE </w:t>
      </w:r>
      <w:r w:rsidRPr="009D0BF2">
        <w:rPr>
          <w:color w:val="000000"/>
          <w:kern w:val="28"/>
        </w:rPr>
        <w:t>FPN</w:t>
      </w:r>
      <w:r>
        <w:rPr>
          <w:color w:val="000000"/>
          <w:kern w:val="28"/>
        </w:rPr>
        <w:t>6521</w:t>
      </w:r>
    </w:p>
    <w:p w14:paraId="5FB0F881" w14:textId="77777777" w:rsidR="00525207" w:rsidRDefault="00525207" w:rsidP="00525207">
      <w:pPr>
        <w:pStyle w:val="Parabase"/>
      </w:pPr>
    </w:p>
    <w:p w14:paraId="233A479B" w14:textId="014C6246" w:rsidR="00525207" w:rsidRPr="009D0BF2" w:rsidRDefault="00525207" w:rsidP="00525207">
      <w:pPr>
        <w:pStyle w:val="Parabase"/>
      </w:pPr>
      <w:r>
        <w:t>© 20</w:t>
      </w:r>
      <w:r w:rsidR="00FA6696">
        <w:t>22</w:t>
      </w:r>
      <w:r w:rsidRPr="009D0BF2">
        <w:t xml:space="preserve"> Equality and Human Rights Commission</w:t>
      </w:r>
    </w:p>
    <w:p w14:paraId="0DD9B784" w14:textId="6A62D1E9" w:rsidR="00155E46" w:rsidRPr="00B740F1" w:rsidRDefault="00525207" w:rsidP="00525207">
      <w:pPr>
        <w:pStyle w:val="Parabase"/>
        <w:rPr>
          <w:b/>
        </w:rPr>
      </w:pPr>
      <w:r>
        <w:t xml:space="preserve">Published </w:t>
      </w:r>
      <w:r w:rsidR="00FA6696">
        <w:t>January 2022</w:t>
      </w:r>
    </w:p>
    <w:sectPr w:rsidR="00155E46" w:rsidRPr="00B740F1" w:rsidSect="00FB7D65">
      <w:headerReference w:type="even" r:id="rId15"/>
      <w:headerReference w:type="default" r:id="rId16"/>
      <w:footerReference w:type="even" r:id="rId17"/>
      <w:footerReference w:type="default" r:id="rId18"/>
      <w:headerReference w:type="first" r:id="rId19"/>
      <w:footerReference w:type="first" r:id="rId20"/>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27789" w14:textId="77777777" w:rsidR="007D530E" w:rsidRDefault="007D530E" w:rsidP="005E4512">
      <w:r>
        <w:separator/>
      </w:r>
    </w:p>
    <w:p w14:paraId="70607CFC" w14:textId="77777777" w:rsidR="007D530E" w:rsidRDefault="007D530E"/>
  </w:endnote>
  <w:endnote w:type="continuationSeparator" w:id="0">
    <w:p w14:paraId="01A02181" w14:textId="77777777" w:rsidR="007D530E" w:rsidRDefault="007D530E" w:rsidP="005E4512">
      <w:r>
        <w:continuationSeparator/>
      </w:r>
    </w:p>
    <w:p w14:paraId="7731F514" w14:textId="77777777" w:rsidR="007D530E" w:rsidRDefault="007D5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B63CC" w14:textId="77777777" w:rsidR="00D31364" w:rsidRDefault="00D31364">
    <w:pPr>
      <w:pStyle w:val="Footer"/>
    </w:pPr>
  </w:p>
  <w:p w14:paraId="58F04CB2" w14:textId="77777777" w:rsidR="00D31364" w:rsidRDefault="00D31364"/>
  <w:p w14:paraId="15BB1C5D" w14:textId="77777777" w:rsidR="00D31364" w:rsidRDefault="00D313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F61F" w14:textId="01B4281B" w:rsidR="00D31364" w:rsidRPr="00FB7D65" w:rsidRDefault="007D530E"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D31364" w:rsidRPr="00325310">
          <w:fldChar w:fldCharType="begin"/>
        </w:r>
        <w:r w:rsidR="00D31364" w:rsidRPr="00325310">
          <w:instrText xml:space="preserve"> PAGE   \* MERGEFORMAT </w:instrText>
        </w:r>
        <w:r w:rsidR="00D31364" w:rsidRPr="00325310">
          <w:fldChar w:fldCharType="separate"/>
        </w:r>
        <w:r w:rsidR="002B2CE3">
          <w:rPr>
            <w:noProof/>
          </w:rPr>
          <w:t>1</w:t>
        </w:r>
        <w:r w:rsidR="00D31364"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E7DF7" w14:textId="77777777" w:rsidR="00D31364" w:rsidRPr="00CF43D8" w:rsidRDefault="007D530E" w:rsidP="00A329F4">
    <w:pPr>
      <w:pStyle w:val="Footer"/>
      <w:ind w:right="-880"/>
      <w:jc w:val="right"/>
      <w:rPr>
        <w:b/>
        <w:color w:val="009C98" w:themeColor="accent1"/>
      </w:rPr>
    </w:pPr>
    <w:hyperlink r:id="rId1" w:history="1">
      <w:r w:rsidR="00D31364" w:rsidRPr="00CF43D8">
        <w:rPr>
          <w:rStyle w:val="Hyperlink"/>
          <w:b/>
          <w:color w:val="009C98" w:themeColor="accent1"/>
          <w:u w:val="none"/>
        </w:rPr>
        <w:t>equalityhumanrights.com</w:t>
      </w:r>
    </w:hyperlink>
  </w:p>
  <w:p w14:paraId="47030DC6" w14:textId="77777777" w:rsidR="00D31364" w:rsidRDefault="00D31364"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66D44" w14:textId="77777777" w:rsidR="007D530E" w:rsidRPr="00A91B02" w:rsidRDefault="007D530E" w:rsidP="00A91B02">
      <w:pPr>
        <w:pStyle w:val="Footer"/>
        <w:pBdr>
          <w:between w:val="single" w:sz="18" w:space="1" w:color="009C98" w:themeColor="accent1"/>
        </w:pBdr>
      </w:pPr>
      <w:r>
        <w:separator/>
      </w:r>
    </w:p>
    <w:p w14:paraId="026A73F7" w14:textId="77777777" w:rsidR="007D530E" w:rsidRDefault="007D530E"/>
  </w:footnote>
  <w:footnote w:type="continuationSeparator" w:id="0">
    <w:p w14:paraId="2958EB72" w14:textId="77777777" w:rsidR="007D530E" w:rsidRDefault="007D530E" w:rsidP="005E4512">
      <w:r>
        <w:continuationSeparator/>
      </w:r>
    </w:p>
    <w:p w14:paraId="534D2B8F" w14:textId="77777777" w:rsidR="007D530E" w:rsidRDefault="007D53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EFC3" w14:textId="77777777" w:rsidR="002B2CE3" w:rsidRDefault="002B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ADF7" w14:textId="21F0FA73" w:rsidR="00D31364" w:rsidRDefault="00D31364" w:rsidP="00605567">
    <w:pPr>
      <w:pStyle w:val="Header"/>
      <w:pBdr>
        <w:top w:val="single" w:sz="36" w:space="5" w:color="009C98" w:themeColor="accent1"/>
      </w:pBdr>
      <w:ind w:left="-851" w:right="-738"/>
      <w:jc w:val="center"/>
    </w:pPr>
    <w:r>
      <w:t>Data protection policy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64E8" w14:textId="77777777" w:rsidR="00D31364" w:rsidRDefault="00D31364" w:rsidP="000E6F22">
    <w:pPr>
      <w:pStyle w:val="Header"/>
      <w:spacing w:before="640" w:after="2000"/>
      <w:ind w:right="-1021"/>
      <w:jc w:val="right"/>
    </w:pPr>
    <w:r>
      <w:rPr>
        <w:noProof/>
        <w:lang w:eastAsia="en-GB"/>
      </w:rPr>
      <w:drawing>
        <wp:inline distT="0" distB="0" distL="0" distR="0" wp14:anchorId="08CB5B39" wp14:editId="7C77404B">
          <wp:extent cx="2624392" cy="673769"/>
          <wp:effectExtent l="0" t="0" r="5080" b="0"/>
          <wp:docPr id="3" name="Picture 3"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DC196A"/>
    <w:multiLevelType w:val="multilevel"/>
    <w:tmpl w:val="EAB48ED2"/>
    <w:lvl w:ilvl="0">
      <w:start w:val="1"/>
      <w:numFmt w:val="bullet"/>
      <w:pStyle w:val="ListBullet"/>
      <w:lvlText w:val="̶"/>
      <w:lvlJc w:val="left"/>
      <w:pPr>
        <w:ind w:left="644"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576EA9"/>
    <w:multiLevelType w:val="multilevel"/>
    <w:tmpl w:val="519C4532"/>
    <w:lvl w:ilvl="0">
      <w:start w:val="1"/>
      <w:numFmt w:val="lowerLetter"/>
      <w:lvlText w:val="%1."/>
      <w:lvlJc w:val="left"/>
      <w:pPr>
        <w:ind w:left="927" w:hanging="567"/>
      </w:pPr>
      <w:rPr>
        <w:rFonts w:hint="default"/>
        <w:color w:val="722856" w:themeColor="accent5"/>
      </w:rPr>
    </w:lvl>
    <w:lvl w:ilvl="1">
      <w:start w:val="1"/>
      <w:numFmt w:val="lowerLetter"/>
      <w:lvlText w:val="%2."/>
      <w:lvlJc w:val="left"/>
      <w:pPr>
        <w:ind w:left="1494" w:hanging="567"/>
      </w:pPr>
      <w:rPr>
        <w:rFonts w:hint="default"/>
      </w:rPr>
    </w:lvl>
    <w:lvl w:ilvl="2">
      <w:start w:val="1"/>
      <w:numFmt w:val="lowerRoman"/>
      <w:lvlText w:val="%3"/>
      <w:lvlJc w:val="left"/>
      <w:pPr>
        <w:ind w:left="2231" w:hanging="453"/>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0"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1"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14"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5" w15:restartNumberingAfterBreak="0">
    <w:nsid w:val="6EAE6B74"/>
    <w:multiLevelType w:val="multilevel"/>
    <w:tmpl w:val="11846BC0"/>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13"/>
  </w:num>
  <w:num w:numId="5">
    <w:abstractNumId w:val="3"/>
  </w:num>
  <w:num w:numId="6">
    <w:abstractNumId w:val="12"/>
  </w:num>
  <w:num w:numId="7">
    <w:abstractNumId w:val="9"/>
  </w:num>
  <w:num w:numId="8">
    <w:abstractNumId w:val="17"/>
  </w:num>
  <w:num w:numId="9">
    <w:abstractNumId w:val="16"/>
  </w:num>
  <w:num w:numId="10">
    <w:abstractNumId w:val="6"/>
  </w:num>
  <w:num w:numId="11">
    <w:abstractNumId w:val="10"/>
  </w:num>
  <w:num w:numId="12">
    <w:abstractNumId w:val="5"/>
  </w:num>
  <w:num w:numId="13">
    <w:abstractNumId w:val="7"/>
  </w:num>
  <w:num w:numId="14">
    <w:abstractNumId w:val="11"/>
  </w:num>
  <w:num w:numId="15">
    <w:abstractNumId w:val="14"/>
  </w:num>
  <w:num w:numId="16">
    <w:abstractNumId w:val="4"/>
  </w:num>
  <w:num w:numId="17">
    <w:abstractNumId w:val="15"/>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67"/>
    <w:rsid w:val="00010BF0"/>
    <w:rsid w:val="000129C4"/>
    <w:rsid w:val="00014FC3"/>
    <w:rsid w:val="00015484"/>
    <w:rsid w:val="00022B38"/>
    <w:rsid w:val="0002676F"/>
    <w:rsid w:val="000310D5"/>
    <w:rsid w:val="00041F60"/>
    <w:rsid w:val="00042CE1"/>
    <w:rsid w:val="000530C5"/>
    <w:rsid w:val="00057FC5"/>
    <w:rsid w:val="00063824"/>
    <w:rsid w:val="00072BE4"/>
    <w:rsid w:val="00075ABB"/>
    <w:rsid w:val="00083530"/>
    <w:rsid w:val="00086816"/>
    <w:rsid w:val="00095255"/>
    <w:rsid w:val="00097C17"/>
    <w:rsid w:val="00097E41"/>
    <w:rsid w:val="000A4006"/>
    <w:rsid w:val="000A4201"/>
    <w:rsid w:val="000A4CC3"/>
    <w:rsid w:val="000A58DB"/>
    <w:rsid w:val="000A5D1E"/>
    <w:rsid w:val="000B1802"/>
    <w:rsid w:val="000B272D"/>
    <w:rsid w:val="000C0566"/>
    <w:rsid w:val="000D1B8F"/>
    <w:rsid w:val="000D320A"/>
    <w:rsid w:val="000D32CF"/>
    <w:rsid w:val="000D32FB"/>
    <w:rsid w:val="000E6F22"/>
    <w:rsid w:val="000F7FD4"/>
    <w:rsid w:val="00123A50"/>
    <w:rsid w:val="001253D3"/>
    <w:rsid w:val="001259F9"/>
    <w:rsid w:val="0012743B"/>
    <w:rsid w:val="001316EA"/>
    <w:rsid w:val="00140296"/>
    <w:rsid w:val="001411A7"/>
    <w:rsid w:val="00145B30"/>
    <w:rsid w:val="001505F0"/>
    <w:rsid w:val="001530E7"/>
    <w:rsid w:val="001555CA"/>
    <w:rsid w:val="00155E46"/>
    <w:rsid w:val="00173F52"/>
    <w:rsid w:val="001746B7"/>
    <w:rsid w:val="00194A63"/>
    <w:rsid w:val="001B4690"/>
    <w:rsid w:val="001C0254"/>
    <w:rsid w:val="001C2F6C"/>
    <w:rsid w:val="001C7725"/>
    <w:rsid w:val="001E017A"/>
    <w:rsid w:val="001E6028"/>
    <w:rsid w:val="001F688B"/>
    <w:rsid w:val="001F71B8"/>
    <w:rsid w:val="00201E04"/>
    <w:rsid w:val="00205A4B"/>
    <w:rsid w:val="00213015"/>
    <w:rsid w:val="00217C70"/>
    <w:rsid w:val="00222098"/>
    <w:rsid w:val="00223CA6"/>
    <w:rsid w:val="00230678"/>
    <w:rsid w:val="00230F01"/>
    <w:rsid w:val="00237647"/>
    <w:rsid w:val="00240672"/>
    <w:rsid w:val="002429CB"/>
    <w:rsid w:val="002450C3"/>
    <w:rsid w:val="00245360"/>
    <w:rsid w:val="00245A71"/>
    <w:rsid w:val="002475B9"/>
    <w:rsid w:val="00254309"/>
    <w:rsid w:val="002552F9"/>
    <w:rsid w:val="00270B19"/>
    <w:rsid w:val="00276C39"/>
    <w:rsid w:val="00277333"/>
    <w:rsid w:val="00283666"/>
    <w:rsid w:val="002877E2"/>
    <w:rsid w:val="00293D30"/>
    <w:rsid w:val="00297813"/>
    <w:rsid w:val="002A0012"/>
    <w:rsid w:val="002A041D"/>
    <w:rsid w:val="002A1AC0"/>
    <w:rsid w:val="002A589D"/>
    <w:rsid w:val="002A65B9"/>
    <w:rsid w:val="002A7B89"/>
    <w:rsid w:val="002B2CE3"/>
    <w:rsid w:val="002B59B5"/>
    <w:rsid w:val="002C0A2F"/>
    <w:rsid w:val="002C11E4"/>
    <w:rsid w:val="002C1528"/>
    <w:rsid w:val="002C271E"/>
    <w:rsid w:val="002D221B"/>
    <w:rsid w:val="002D7B90"/>
    <w:rsid w:val="002E08E4"/>
    <w:rsid w:val="002E4FAE"/>
    <w:rsid w:val="002F4282"/>
    <w:rsid w:val="003001EA"/>
    <w:rsid w:val="00303660"/>
    <w:rsid w:val="00315E91"/>
    <w:rsid w:val="003174FA"/>
    <w:rsid w:val="00325310"/>
    <w:rsid w:val="00330757"/>
    <w:rsid w:val="003338E8"/>
    <w:rsid w:val="00341836"/>
    <w:rsid w:val="00341DD6"/>
    <w:rsid w:val="00346E98"/>
    <w:rsid w:val="00347E8A"/>
    <w:rsid w:val="003535A7"/>
    <w:rsid w:val="00360FA4"/>
    <w:rsid w:val="003616C5"/>
    <w:rsid w:val="00365E5D"/>
    <w:rsid w:val="0038266E"/>
    <w:rsid w:val="00384E88"/>
    <w:rsid w:val="00384EFE"/>
    <w:rsid w:val="00390682"/>
    <w:rsid w:val="00392943"/>
    <w:rsid w:val="003A7D00"/>
    <w:rsid w:val="003B5712"/>
    <w:rsid w:val="003B7D03"/>
    <w:rsid w:val="003C7799"/>
    <w:rsid w:val="003D5EC0"/>
    <w:rsid w:val="003E0710"/>
    <w:rsid w:val="003E3346"/>
    <w:rsid w:val="003F48DD"/>
    <w:rsid w:val="003F7BE7"/>
    <w:rsid w:val="00401D2A"/>
    <w:rsid w:val="00407C5D"/>
    <w:rsid w:val="0041136B"/>
    <w:rsid w:val="004149B7"/>
    <w:rsid w:val="00420E5D"/>
    <w:rsid w:val="0042713F"/>
    <w:rsid w:val="004303BC"/>
    <w:rsid w:val="0043168D"/>
    <w:rsid w:val="004326EA"/>
    <w:rsid w:val="00436510"/>
    <w:rsid w:val="00444CDB"/>
    <w:rsid w:val="00452FCD"/>
    <w:rsid w:val="00457EE1"/>
    <w:rsid w:val="00461040"/>
    <w:rsid w:val="00465B9E"/>
    <w:rsid w:val="00465E0B"/>
    <w:rsid w:val="004704A3"/>
    <w:rsid w:val="00470881"/>
    <w:rsid w:val="0047425A"/>
    <w:rsid w:val="00474664"/>
    <w:rsid w:val="00477539"/>
    <w:rsid w:val="004A0C14"/>
    <w:rsid w:val="004A47A5"/>
    <w:rsid w:val="004A5BF6"/>
    <w:rsid w:val="004A6194"/>
    <w:rsid w:val="004A7094"/>
    <w:rsid w:val="004B5F48"/>
    <w:rsid w:val="004C5C6A"/>
    <w:rsid w:val="004D3925"/>
    <w:rsid w:val="004D3FC1"/>
    <w:rsid w:val="004D40B9"/>
    <w:rsid w:val="004E026D"/>
    <w:rsid w:val="004E2C9C"/>
    <w:rsid w:val="004F0D64"/>
    <w:rsid w:val="004F2B23"/>
    <w:rsid w:val="004F5444"/>
    <w:rsid w:val="00514A49"/>
    <w:rsid w:val="005204F5"/>
    <w:rsid w:val="00525207"/>
    <w:rsid w:val="00525E6A"/>
    <w:rsid w:val="00526047"/>
    <w:rsid w:val="00527586"/>
    <w:rsid w:val="00532C97"/>
    <w:rsid w:val="00533F29"/>
    <w:rsid w:val="005343CD"/>
    <w:rsid w:val="00534454"/>
    <w:rsid w:val="005379E2"/>
    <w:rsid w:val="005602FB"/>
    <w:rsid w:val="005653CB"/>
    <w:rsid w:val="005779B4"/>
    <w:rsid w:val="0058159A"/>
    <w:rsid w:val="00587947"/>
    <w:rsid w:val="0059411C"/>
    <w:rsid w:val="005A4164"/>
    <w:rsid w:val="005A5B8D"/>
    <w:rsid w:val="005B2250"/>
    <w:rsid w:val="005B3BCB"/>
    <w:rsid w:val="005B5C1E"/>
    <w:rsid w:val="005D039A"/>
    <w:rsid w:val="005D0B10"/>
    <w:rsid w:val="005E4512"/>
    <w:rsid w:val="005F1448"/>
    <w:rsid w:val="005F2E97"/>
    <w:rsid w:val="005F32A7"/>
    <w:rsid w:val="00605567"/>
    <w:rsid w:val="00611FD8"/>
    <w:rsid w:val="00622D39"/>
    <w:rsid w:val="00624702"/>
    <w:rsid w:val="006414DD"/>
    <w:rsid w:val="006430F1"/>
    <w:rsid w:val="006451FF"/>
    <w:rsid w:val="00653530"/>
    <w:rsid w:val="00685B8F"/>
    <w:rsid w:val="0069230C"/>
    <w:rsid w:val="006978A0"/>
    <w:rsid w:val="006A1408"/>
    <w:rsid w:val="006B5664"/>
    <w:rsid w:val="006B7D0A"/>
    <w:rsid w:val="006C33F0"/>
    <w:rsid w:val="006C5A43"/>
    <w:rsid w:val="006D108F"/>
    <w:rsid w:val="006D2B04"/>
    <w:rsid w:val="006D3509"/>
    <w:rsid w:val="006D611F"/>
    <w:rsid w:val="006E41F3"/>
    <w:rsid w:val="00702328"/>
    <w:rsid w:val="00705AC7"/>
    <w:rsid w:val="00711475"/>
    <w:rsid w:val="0071584B"/>
    <w:rsid w:val="007256FA"/>
    <w:rsid w:val="00734196"/>
    <w:rsid w:val="00741B1E"/>
    <w:rsid w:val="00742F24"/>
    <w:rsid w:val="00746003"/>
    <w:rsid w:val="00766CD1"/>
    <w:rsid w:val="00772C5D"/>
    <w:rsid w:val="00776236"/>
    <w:rsid w:val="007822D0"/>
    <w:rsid w:val="00795B43"/>
    <w:rsid w:val="00796F96"/>
    <w:rsid w:val="007A00B2"/>
    <w:rsid w:val="007A0465"/>
    <w:rsid w:val="007A3B56"/>
    <w:rsid w:val="007A5B63"/>
    <w:rsid w:val="007A7ED1"/>
    <w:rsid w:val="007B22F7"/>
    <w:rsid w:val="007B3195"/>
    <w:rsid w:val="007B33CC"/>
    <w:rsid w:val="007B485A"/>
    <w:rsid w:val="007B7561"/>
    <w:rsid w:val="007C1DEA"/>
    <w:rsid w:val="007C2194"/>
    <w:rsid w:val="007D3F5B"/>
    <w:rsid w:val="007D50DD"/>
    <w:rsid w:val="007D530E"/>
    <w:rsid w:val="007E120D"/>
    <w:rsid w:val="007E44E5"/>
    <w:rsid w:val="007E44E8"/>
    <w:rsid w:val="008139C1"/>
    <w:rsid w:val="00820A8B"/>
    <w:rsid w:val="00826DCF"/>
    <w:rsid w:val="00831202"/>
    <w:rsid w:val="008317E5"/>
    <w:rsid w:val="0083182E"/>
    <w:rsid w:val="00831EF0"/>
    <w:rsid w:val="0083473E"/>
    <w:rsid w:val="0083574A"/>
    <w:rsid w:val="00840988"/>
    <w:rsid w:val="00841C02"/>
    <w:rsid w:val="008449CD"/>
    <w:rsid w:val="008462DE"/>
    <w:rsid w:val="0086276D"/>
    <w:rsid w:val="00863D5E"/>
    <w:rsid w:val="008677AF"/>
    <w:rsid w:val="00870E83"/>
    <w:rsid w:val="00877DA5"/>
    <w:rsid w:val="0088092E"/>
    <w:rsid w:val="00880F69"/>
    <w:rsid w:val="008820F6"/>
    <w:rsid w:val="008826A9"/>
    <w:rsid w:val="008826E6"/>
    <w:rsid w:val="008842C1"/>
    <w:rsid w:val="00894B5D"/>
    <w:rsid w:val="00895CE3"/>
    <w:rsid w:val="008A08BC"/>
    <w:rsid w:val="008A4181"/>
    <w:rsid w:val="008B1A83"/>
    <w:rsid w:val="008C2ADE"/>
    <w:rsid w:val="008D03BA"/>
    <w:rsid w:val="008D33EF"/>
    <w:rsid w:val="008D4A5F"/>
    <w:rsid w:val="008E6A27"/>
    <w:rsid w:val="008F1D3D"/>
    <w:rsid w:val="008F691A"/>
    <w:rsid w:val="00906752"/>
    <w:rsid w:val="00912934"/>
    <w:rsid w:val="00915C63"/>
    <w:rsid w:val="00917D9B"/>
    <w:rsid w:val="00921CB3"/>
    <w:rsid w:val="00926204"/>
    <w:rsid w:val="0092660D"/>
    <w:rsid w:val="00926CB1"/>
    <w:rsid w:val="00935B10"/>
    <w:rsid w:val="00935C2D"/>
    <w:rsid w:val="00950BE2"/>
    <w:rsid w:val="00960BAD"/>
    <w:rsid w:val="00961657"/>
    <w:rsid w:val="0096568E"/>
    <w:rsid w:val="00972D5B"/>
    <w:rsid w:val="009815AA"/>
    <w:rsid w:val="00982396"/>
    <w:rsid w:val="00985A4E"/>
    <w:rsid w:val="00995C2B"/>
    <w:rsid w:val="009A1AC8"/>
    <w:rsid w:val="009A203F"/>
    <w:rsid w:val="009B02D1"/>
    <w:rsid w:val="009B1AA5"/>
    <w:rsid w:val="009C1718"/>
    <w:rsid w:val="009C2218"/>
    <w:rsid w:val="009C37B9"/>
    <w:rsid w:val="009C71D5"/>
    <w:rsid w:val="009D0D69"/>
    <w:rsid w:val="009D6553"/>
    <w:rsid w:val="009D7F58"/>
    <w:rsid w:val="009E0C25"/>
    <w:rsid w:val="009E1A6C"/>
    <w:rsid w:val="009F68AD"/>
    <w:rsid w:val="00A02EA3"/>
    <w:rsid w:val="00A03D5D"/>
    <w:rsid w:val="00A05A2D"/>
    <w:rsid w:val="00A1016E"/>
    <w:rsid w:val="00A23764"/>
    <w:rsid w:val="00A26DF5"/>
    <w:rsid w:val="00A27840"/>
    <w:rsid w:val="00A329F4"/>
    <w:rsid w:val="00A444F9"/>
    <w:rsid w:val="00A457FE"/>
    <w:rsid w:val="00A5273A"/>
    <w:rsid w:val="00A55000"/>
    <w:rsid w:val="00A67B13"/>
    <w:rsid w:val="00A67F44"/>
    <w:rsid w:val="00A73344"/>
    <w:rsid w:val="00A73E9F"/>
    <w:rsid w:val="00A82FF5"/>
    <w:rsid w:val="00A85160"/>
    <w:rsid w:val="00A91B02"/>
    <w:rsid w:val="00A93370"/>
    <w:rsid w:val="00AA016D"/>
    <w:rsid w:val="00AA394F"/>
    <w:rsid w:val="00AB488C"/>
    <w:rsid w:val="00AC3A2F"/>
    <w:rsid w:val="00AD1533"/>
    <w:rsid w:val="00AE7D1B"/>
    <w:rsid w:val="00AF725F"/>
    <w:rsid w:val="00B02B52"/>
    <w:rsid w:val="00B03B19"/>
    <w:rsid w:val="00B14602"/>
    <w:rsid w:val="00B14A1F"/>
    <w:rsid w:val="00B15AE8"/>
    <w:rsid w:val="00B16F8A"/>
    <w:rsid w:val="00B25013"/>
    <w:rsid w:val="00B275C8"/>
    <w:rsid w:val="00B277C1"/>
    <w:rsid w:val="00B27819"/>
    <w:rsid w:val="00B315CD"/>
    <w:rsid w:val="00B34191"/>
    <w:rsid w:val="00B36488"/>
    <w:rsid w:val="00B437EB"/>
    <w:rsid w:val="00B45DF7"/>
    <w:rsid w:val="00B47EC7"/>
    <w:rsid w:val="00B54ABC"/>
    <w:rsid w:val="00B63C27"/>
    <w:rsid w:val="00B740F1"/>
    <w:rsid w:val="00B751E2"/>
    <w:rsid w:val="00B77265"/>
    <w:rsid w:val="00B84D3D"/>
    <w:rsid w:val="00B91A3D"/>
    <w:rsid w:val="00B974E8"/>
    <w:rsid w:val="00BA14D7"/>
    <w:rsid w:val="00BA4B02"/>
    <w:rsid w:val="00BA7DCD"/>
    <w:rsid w:val="00BC12D1"/>
    <w:rsid w:val="00BC24C0"/>
    <w:rsid w:val="00BC7BCF"/>
    <w:rsid w:val="00BD5C30"/>
    <w:rsid w:val="00BD779F"/>
    <w:rsid w:val="00BE1E67"/>
    <w:rsid w:val="00BE3064"/>
    <w:rsid w:val="00BF02FD"/>
    <w:rsid w:val="00BF0596"/>
    <w:rsid w:val="00C01F14"/>
    <w:rsid w:val="00C04155"/>
    <w:rsid w:val="00C06697"/>
    <w:rsid w:val="00C105E4"/>
    <w:rsid w:val="00C2460D"/>
    <w:rsid w:val="00C319B6"/>
    <w:rsid w:val="00C31AF2"/>
    <w:rsid w:val="00C3520D"/>
    <w:rsid w:val="00C375C0"/>
    <w:rsid w:val="00C405CB"/>
    <w:rsid w:val="00C42854"/>
    <w:rsid w:val="00C4621C"/>
    <w:rsid w:val="00C50BF9"/>
    <w:rsid w:val="00C51831"/>
    <w:rsid w:val="00C57A76"/>
    <w:rsid w:val="00C608EC"/>
    <w:rsid w:val="00C66D45"/>
    <w:rsid w:val="00C72AD9"/>
    <w:rsid w:val="00C74255"/>
    <w:rsid w:val="00C744BD"/>
    <w:rsid w:val="00C76302"/>
    <w:rsid w:val="00C76EBA"/>
    <w:rsid w:val="00CB4B82"/>
    <w:rsid w:val="00CB7209"/>
    <w:rsid w:val="00CC0205"/>
    <w:rsid w:val="00CC63B2"/>
    <w:rsid w:val="00CC7505"/>
    <w:rsid w:val="00CD2A8E"/>
    <w:rsid w:val="00CD2D4F"/>
    <w:rsid w:val="00CD6476"/>
    <w:rsid w:val="00CD7BA9"/>
    <w:rsid w:val="00CE47FC"/>
    <w:rsid w:val="00CF0CC1"/>
    <w:rsid w:val="00CF43D8"/>
    <w:rsid w:val="00CF49AC"/>
    <w:rsid w:val="00CF75AD"/>
    <w:rsid w:val="00CF7B08"/>
    <w:rsid w:val="00D01D9A"/>
    <w:rsid w:val="00D1027A"/>
    <w:rsid w:val="00D10663"/>
    <w:rsid w:val="00D12DCC"/>
    <w:rsid w:val="00D14EAD"/>
    <w:rsid w:val="00D16E4D"/>
    <w:rsid w:val="00D17ECD"/>
    <w:rsid w:val="00D20338"/>
    <w:rsid w:val="00D23E57"/>
    <w:rsid w:val="00D25D5E"/>
    <w:rsid w:val="00D26766"/>
    <w:rsid w:val="00D30929"/>
    <w:rsid w:val="00D31364"/>
    <w:rsid w:val="00D33C3E"/>
    <w:rsid w:val="00D3691F"/>
    <w:rsid w:val="00D46EE9"/>
    <w:rsid w:val="00D60914"/>
    <w:rsid w:val="00D90A9D"/>
    <w:rsid w:val="00D93B3E"/>
    <w:rsid w:val="00D9573B"/>
    <w:rsid w:val="00D96F66"/>
    <w:rsid w:val="00DA41BB"/>
    <w:rsid w:val="00DB4546"/>
    <w:rsid w:val="00DB6CC4"/>
    <w:rsid w:val="00DB752B"/>
    <w:rsid w:val="00DC151A"/>
    <w:rsid w:val="00DD00FA"/>
    <w:rsid w:val="00DE364D"/>
    <w:rsid w:val="00DE6EBF"/>
    <w:rsid w:val="00DF7ED8"/>
    <w:rsid w:val="00E00C03"/>
    <w:rsid w:val="00E0182D"/>
    <w:rsid w:val="00E022B8"/>
    <w:rsid w:val="00E023E3"/>
    <w:rsid w:val="00E07F2A"/>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6087"/>
    <w:rsid w:val="00E66325"/>
    <w:rsid w:val="00E672BD"/>
    <w:rsid w:val="00E70259"/>
    <w:rsid w:val="00E72819"/>
    <w:rsid w:val="00E8298C"/>
    <w:rsid w:val="00E911CA"/>
    <w:rsid w:val="00E93AC5"/>
    <w:rsid w:val="00E976F4"/>
    <w:rsid w:val="00EA4698"/>
    <w:rsid w:val="00EA645A"/>
    <w:rsid w:val="00EB0097"/>
    <w:rsid w:val="00EB5D82"/>
    <w:rsid w:val="00ED42D8"/>
    <w:rsid w:val="00ED4824"/>
    <w:rsid w:val="00EE18C4"/>
    <w:rsid w:val="00EE31FF"/>
    <w:rsid w:val="00EF1FA9"/>
    <w:rsid w:val="00EF4080"/>
    <w:rsid w:val="00EF75A6"/>
    <w:rsid w:val="00F01F0F"/>
    <w:rsid w:val="00F127CB"/>
    <w:rsid w:val="00F127DD"/>
    <w:rsid w:val="00F15E3B"/>
    <w:rsid w:val="00F16534"/>
    <w:rsid w:val="00F171F1"/>
    <w:rsid w:val="00F23B7C"/>
    <w:rsid w:val="00F3600F"/>
    <w:rsid w:val="00F47B4A"/>
    <w:rsid w:val="00F55A04"/>
    <w:rsid w:val="00F5756D"/>
    <w:rsid w:val="00F71090"/>
    <w:rsid w:val="00F710B0"/>
    <w:rsid w:val="00F72D83"/>
    <w:rsid w:val="00F72DA0"/>
    <w:rsid w:val="00F7524D"/>
    <w:rsid w:val="00F80066"/>
    <w:rsid w:val="00F81BF2"/>
    <w:rsid w:val="00F915DF"/>
    <w:rsid w:val="00F92202"/>
    <w:rsid w:val="00F9713D"/>
    <w:rsid w:val="00FA1675"/>
    <w:rsid w:val="00FA6696"/>
    <w:rsid w:val="00FB1F47"/>
    <w:rsid w:val="00FB2388"/>
    <w:rsid w:val="00FB71BD"/>
    <w:rsid w:val="00FB7D65"/>
    <w:rsid w:val="00FC0D68"/>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DB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9"/>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9"/>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9"/>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10"/>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9"/>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9"/>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link w:val="ListParagraphChar"/>
    <w:uiPriority w:val="34"/>
    <w:rsid w:val="00E3122A"/>
    <w:pPr>
      <w:spacing w:before="60"/>
      <w:ind w:left="227"/>
    </w:pPr>
  </w:style>
  <w:style w:type="paragraph" w:styleId="NoSpacing">
    <w:name w:val="No Spacing"/>
    <w:uiPriority w:val="1"/>
    <w:rsid w:val="00B14602"/>
    <w:pPr>
      <w:spacing w:after="0" w:line="240" w:lineRule="auto"/>
    </w:pPr>
    <w:rPr>
      <w:sz w:val="28"/>
    </w:rPr>
  </w:style>
  <w:style w:type="paragraph" w:styleId="ListBullet">
    <w:name w:val="List Bullet"/>
    <w:basedOn w:val="ListParagraph"/>
    <w:uiPriority w:val="1"/>
    <w:qFormat/>
    <w:rsid w:val="001253D3"/>
    <w:pPr>
      <w:numPr>
        <w:numId w:val="13"/>
      </w:numPr>
      <w:ind w:left="360"/>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qFormat/>
    <w:rsid w:val="00A82FF5"/>
    <w:pPr>
      <w:spacing w:after="100"/>
      <w:ind w:left="280"/>
    </w:pPr>
  </w:style>
  <w:style w:type="paragraph" w:styleId="TOC1">
    <w:name w:val="toc 1"/>
    <w:basedOn w:val="Normal"/>
    <w:next w:val="Normal"/>
    <w:autoRedefine/>
    <w:uiPriority w:val="39"/>
    <w:unhideWhenUsed/>
    <w:qFormat/>
    <w:rsid w:val="00A82FF5"/>
    <w:pPr>
      <w:spacing w:after="100"/>
    </w:pPr>
    <w:rPr>
      <w:b/>
    </w:rPr>
  </w:style>
  <w:style w:type="paragraph" w:styleId="ListNumber">
    <w:name w:val="List Number"/>
    <w:basedOn w:val="Normal"/>
    <w:uiPriority w:val="1"/>
    <w:qFormat/>
    <w:rsid w:val="00230678"/>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5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qFormat/>
    <w:rsid w:val="00A82FF5"/>
    <w:pPr>
      <w:spacing w:before="120"/>
    </w:pPr>
    <w:rPr>
      <w:rFonts w:asciiTheme="majorHAnsi" w:hAnsiTheme="majorHAnsi" w:cstheme="majorHAnsi"/>
      <w:b w:val="0"/>
      <w:szCs w:val="28"/>
    </w:rPr>
  </w:style>
  <w:style w:type="paragraph" w:styleId="BodyText">
    <w:name w:val="Body Text"/>
    <w:basedOn w:val="Normal"/>
    <w:link w:val="BodyTextChar"/>
    <w:uiPriority w:val="1"/>
    <w:unhideWhenUsed/>
    <w:qFormat/>
    <w:rsid w:val="00A82FF5"/>
    <w:pPr>
      <w:spacing w:after="120"/>
    </w:pPr>
  </w:style>
  <w:style w:type="character" w:customStyle="1" w:styleId="BodyTextChar">
    <w:name w:val="Body Text Char"/>
    <w:basedOn w:val="DefaultParagraphFont"/>
    <w:link w:val="BodyText"/>
    <w:uiPriority w:val="1"/>
    <w:rsid w:val="00A82FF5"/>
    <w:rPr>
      <w:sz w:val="24"/>
    </w:rPr>
  </w:style>
  <w:style w:type="paragraph" w:styleId="TOC3">
    <w:name w:val="toc 3"/>
    <w:basedOn w:val="Normal"/>
    <w:next w:val="Normal"/>
    <w:autoRedefine/>
    <w:uiPriority w:val="39"/>
    <w:unhideWhenUsed/>
    <w:qFormat/>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qFormat/>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43168D"/>
  </w:style>
  <w:style w:type="paragraph" w:customStyle="1" w:styleId="Paragraphstyle">
    <w:name w:val="Paragraph style"/>
    <w:basedOn w:val="ListParagraph"/>
    <w:link w:val="ParagraphstyleChar"/>
    <w:qFormat/>
    <w:rsid w:val="0043168D"/>
    <w:pPr>
      <w:spacing w:before="240"/>
      <w:ind w:left="720"/>
    </w:pPr>
    <w:rPr>
      <w:rFonts w:ascii="Arial" w:hAnsi="Arial" w:cs="Arial"/>
      <w:color w:val="000000"/>
      <w:szCs w:val="24"/>
      <w:lang w:val="cy-GB" w:eastAsia="en-GB"/>
    </w:rPr>
  </w:style>
  <w:style w:type="character" w:customStyle="1" w:styleId="ParagraphstyleChar">
    <w:name w:val="Paragraph style Char"/>
    <w:basedOn w:val="DefaultParagraphFont"/>
    <w:link w:val="Paragraphstyle"/>
    <w:rsid w:val="0043168D"/>
    <w:rPr>
      <w:rFonts w:ascii="Arial" w:hAnsi="Arial" w:cs="Arial"/>
      <w:color w:val="000000"/>
      <w:sz w:val="24"/>
      <w:szCs w:val="24"/>
      <w:lang w:val="cy-GB" w:eastAsia="en-GB"/>
    </w:rPr>
  </w:style>
  <w:style w:type="paragraph" w:customStyle="1" w:styleId="Title-chapterpurple">
    <w:name w:val="&gt;Title - chapter purple"/>
    <w:basedOn w:val="Normal"/>
    <w:qFormat/>
    <w:rsid w:val="0043168D"/>
    <w:pPr>
      <w:keepNext/>
      <w:spacing w:after="1920" w:line="288" w:lineRule="auto"/>
      <w:outlineLvl w:val="0"/>
    </w:pPr>
    <w:rPr>
      <w:rFonts w:eastAsia="Times New Roman"/>
      <w:bCs/>
      <w:color w:val="AF1685"/>
      <w:sz w:val="48"/>
      <w:szCs w:val="48"/>
      <w:lang w:val="cy-GB" w:eastAsia="en-GB"/>
    </w:rPr>
  </w:style>
  <w:style w:type="paragraph" w:customStyle="1" w:styleId="Parabase">
    <w:name w:val="&gt; Para (base)"/>
    <w:basedOn w:val="Normal"/>
    <w:qFormat/>
    <w:rsid w:val="0043168D"/>
    <w:pPr>
      <w:spacing w:after="120" w:line="312" w:lineRule="auto"/>
    </w:pPr>
    <w:rPr>
      <w:rFonts w:ascii="Arial" w:hAnsi="Arial" w:cs="Arial"/>
      <w:szCs w:val="24"/>
      <w:lang w:val="cy-GB" w:eastAsia="en-GB"/>
    </w:rPr>
  </w:style>
  <w:style w:type="paragraph" w:customStyle="1" w:styleId="Parasection">
    <w:name w:val="&gt; Para (section)"/>
    <w:basedOn w:val="Normal"/>
    <w:qFormat/>
    <w:rsid w:val="0043168D"/>
    <w:pPr>
      <w:spacing w:after="640" w:line="312" w:lineRule="auto"/>
    </w:pPr>
    <w:rPr>
      <w:rFonts w:ascii="Arial" w:hAnsi="Arial"/>
      <w:szCs w:val="24"/>
      <w:lang w:val="cy-GB" w:eastAsia="en-GB"/>
    </w:rPr>
  </w:style>
  <w:style w:type="paragraph" w:customStyle="1" w:styleId="Parass">
    <w:name w:val="&gt; Para (ss)"/>
    <w:basedOn w:val="Parasection"/>
    <w:qFormat/>
    <w:rsid w:val="0043168D"/>
    <w:pPr>
      <w:spacing w:after="360"/>
    </w:pPr>
  </w:style>
  <w:style w:type="paragraph" w:customStyle="1" w:styleId="Default">
    <w:name w:val="Default"/>
    <w:rsid w:val="00525207"/>
    <w:pPr>
      <w:autoSpaceDE w:val="0"/>
      <w:autoSpaceDN w:val="0"/>
      <w:adjustRightInd w:val="0"/>
      <w:spacing w:after="0" w:line="240" w:lineRule="auto"/>
    </w:pPr>
    <w:rPr>
      <w:rFonts w:ascii="Georgia" w:eastAsia="Calibri" w:hAnsi="Georgia" w:cs="Georgia"/>
      <w:color w:val="000000"/>
      <w:sz w:val="24"/>
      <w:szCs w:val="24"/>
      <w:lang w:eastAsia="en-GB"/>
    </w:rPr>
  </w:style>
  <w:style w:type="paragraph" w:styleId="Revision">
    <w:name w:val="Revision"/>
    <w:hidden/>
    <w:uiPriority w:val="99"/>
    <w:semiHidden/>
    <w:rsid w:val="00525207"/>
    <w:pPr>
      <w:spacing w:after="0" w:line="240" w:lineRule="auto"/>
    </w:pPr>
    <w:rPr>
      <w:rFonts w:ascii="Arial" w:eastAsia="Calibri" w:hAnsi="Arial" w:cs="Times New Roman"/>
      <w:sz w:val="28"/>
    </w:rPr>
  </w:style>
  <w:style w:type="paragraph" w:customStyle="1" w:styleId="Heading1-Numbered">
    <w:name w:val="Heading 1 - Numbered"/>
    <w:basedOn w:val="Heading1"/>
    <w:qFormat/>
    <w:rsid w:val="00525207"/>
    <w:pPr>
      <w:pageBreakBefore w:val="0"/>
      <w:spacing w:before="360" w:after="240"/>
      <w:ind w:left="720" w:hanging="720"/>
    </w:pPr>
    <w:rPr>
      <w:rFonts w:ascii="Georgia" w:eastAsia="Times New Roman" w:hAnsi="Georgia" w:cs="Times New Roman"/>
      <w:bCs/>
      <w:noProof/>
      <w:color w:val="AF1685"/>
      <w:sz w:val="48"/>
      <w:szCs w:val="48"/>
      <w:bdr w:val="none" w:sz="0" w:space="0" w:color="auto"/>
      <w:shd w:val="clear" w:color="auto" w:fill="auto"/>
      <w:lang w:eastAsia="en-GB"/>
    </w:rPr>
  </w:style>
  <w:style w:type="paragraph" w:customStyle="1" w:styleId="TableText">
    <w:name w:val="Table Text"/>
    <w:basedOn w:val="Paragraphstyle"/>
    <w:link w:val="TableTextChar"/>
    <w:qFormat/>
    <w:rsid w:val="00525207"/>
    <w:pPr>
      <w:keepLines w:val="0"/>
      <w:spacing w:before="60" w:after="60"/>
      <w:ind w:left="0"/>
    </w:pPr>
    <w:rPr>
      <w:rFonts w:eastAsia="Calibri"/>
    </w:rPr>
  </w:style>
  <w:style w:type="paragraph" w:customStyle="1" w:styleId="TableTextSmall">
    <w:name w:val="Table Text Small"/>
    <w:basedOn w:val="TableText"/>
    <w:link w:val="TableTextSmallChar"/>
    <w:qFormat/>
    <w:rsid w:val="00525207"/>
    <w:pPr>
      <w:spacing w:after="0"/>
    </w:pPr>
    <w:rPr>
      <w:sz w:val="20"/>
    </w:rPr>
  </w:style>
  <w:style w:type="character" w:customStyle="1" w:styleId="ListParagraphChar">
    <w:name w:val="List Paragraph Char"/>
    <w:basedOn w:val="DefaultParagraphFont"/>
    <w:link w:val="ListParagraph"/>
    <w:uiPriority w:val="34"/>
    <w:rsid w:val="00525207"/>
    <w:rPr>
      <w:sz w:val="24"/>
    </w:rPr>
  </w:style>
  <w:style w:type="character" w:customStyle="1" w:styleId="TableTextChar">
    <w:name w:val="Table Text Char"/>
    <w:basedOn w:val="ParagraphstyleChar"/>
    <w:link w:val="TableText"/>
    <w:rsid w:val="00525207"/>
    <w:rPr>
      <w:rFonts w:ascii="Arial" w:eastAsia="Calibri" w:hAnsi="Arial" w:cs="Arial"/>
      <w:color w:val="000000"/>
      <w:sz w:val="24"/>
      <w:szCs w:val="24"/>
      <w:lang w:val="cy-GB" w:eastAsia="en-GB"/>
    </w:rPr>
  </w:style>
  <w:style w:type="character" w:customStyle="1" w:styleId="TableTextSmallChar">
    <w:name w:val="Table Text Small Char"/>
    <w:basedOn w:val="TableTextChar"/>
    <w:link w:val="TableTextSmall"/>
    <w:rsid w:val="00525207"/>
    <w:rPr>
      <w:rFonts w:ascii="Arial" w:eastAsia="Calibri" w:hAnsi="Arial" w:cs="Arial"/>
      <w:color w:val="000000"/>
      <w:sz w:val="20"/>
      <w:szCs w:val="24"/>
      <w:lang w:val="cy-GB" w:eastAsia="en-GB"/>
    </w:rPr>
  </w:style>
  <w:style w:type="table" w:customStyle="1" w:styleId="TableGrid1">
    <w:name w:val="Table Grid1"/>
    <w:basedOn w:val="TableNormal"/>
    <w:next w:val="TableGrid"/>
    <w:uiPriority w:val="59"/>
    <w:rsid w:val="005252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Headers">
    <w:name w:val="&gt; L1 Headers"/>
    <w:basedOn w:val="Heading1"/>
    <w:qFormat/>
    <w:rsid w:val="00525207"/>
    <w:pPr>
      <w:pageBreakBefore w:val="0"/>
      <w:spacing w:before="0" w:after="1280" w:line="288" w:lineRule="auto"/>
      <w:ind w:left="851" w:hanging="851"/>
    </w:pPr>
    <w:rPr>
      <w:rFonts w:ascii="Georgia" w:eastAsia="Times New Roman" w:hAnsi="Georgia" w:cs="Times New Roman"/>
      <w:bCs/>
      <w:color w:val="auto"/>
      <w:szCs w:val="56"/>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contact-us/signvideo-bsl-online-interpreting-service" TargetMode="External"/><Relationship Id="rId13" Type="http://schemas.openxmlformats.org/officeDocument/2006/relationships/hyperlink" Target="https://www.equalityhumanrights.com/en/newsletter-sig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rrespondence@equalityhumanright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spondence@equalityhumanrights.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equalityhumanrights.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qualityhumanrights.com/en/contact-us/signvideo-bsl-online-interpreting-service" TargetMode="External"/><Relationship Id="rId14" Type="http://schemas.openxmlformats.org/officeDocument/2006/relationships/hyperlink" Target="http://www.equalityadvisoryservice.com"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60"/>
    <w:rsid w:val="0007596F"/>
    <w:rsid w:val="00376047"/>
    <w:rsid w:val="005D4D14"/>
    <w:rsid w:val="00717F60"/>
    <w:rsid w:val="00930F45"/>
    <w:rsid w:val="00D27D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3CDE4B475A4D189D974F275AB80438">
    <w:name w:val="503CDE4B475A4D189D974F275AB80438"/>
  </w:style>
  <w:style w:type="character" w:styleId="PlaceholderText">
    <w:name w:val="Placeholder Text"/>
    <w:basedOn w:val="DefaultParagraphFont"/>
    <w:uiPriority w:val="99"/>
    <w:semiHidden/>
    <w:rsid w:val="00717F60"/>
    <w:rPr>
      <w:color w:val="808080"/>
      <w:sz w:val="24"/>
    </w:rPr>
  </w:style>
  <w:style w:type="paragraph" w:customStyle="1" w:styleId="F7F856F023494C65BD2CECDDE466963E">
    <w:name w:val="F7F856F023494C65BD2CECDDE466963E"/>
  </w:style>
  <w:style w:type="paragraph" w:customStyle="1" w:styleId="BB3B34B6D919469E8A83A15CB9B52B0D">
    <w:name w:val="BB3B34B6D919469E8A83A15CB9B52B0D"/>
  </w:style>
  <w:style w:type="paragraph" w:customStyle="1" w:styleId="003D6F28DDB24C80BF4B1DBEEB2B4FCF">
    <w:name w:val="003D6F28DDB24C80BF4B1DBEEB2B4FCF"/>
  </w:style>
  <w:style w:type="paragraph" w:customStyle="1" w:styleId="B0082F5FB05746E19C0D1F61DB9147CE">
    <w:name w:val="B0082F5FB05746E19C0D1F61DB9147CE"/>
  </w:style>
  <w:style w:type="paragraph" w:customStyle="1" w:styleId="862F10FBA090498A8BFF5ED16E79E708">
    <w:name w:val="862F10FBA090498A8BFF5ED16E79E708"/>
  </w:style>
  <w:style w:type="paragraph" w:customStyle="1" w:styleId="7E509C2C41194F3CBBBA3A28E978F745">
    <w:name w:val="7E509C2C41194F3CBBBA3A28E978F745"/>
    <w:rsid w:val="00717F60"/>
  </w:style>
  <w:style w:type="paragraph" w:customStyle="1" w:styleId="0C319B3188FA4ED68D1195A5192E1BB8">
    <w:name w:val="0C319B3188FA4ED68D1195A5192E1BB8"/>
    <w:rsid w:val="00717F60"/>
  </w:style>
  <w:style w:type="paragraph" w:customStyle="1" w:styleId="F953208B8D2545F6AD4BA2C02F8BA941">
    <w:name w:val="F953208B8D2545F6AD4BA2C02F8BA941"/>
    <w:rsid w:val="00717F60"/>
  </w:style>
  <w:style w:type="paragraph" w:customStyle="1" w:styleId="3B1F74E378274E588C4023A7FC0D3A9A">
    <w:name w:val="3B1F74E378274E588C4023A7FC0D3A9A"/>
    <w:rsid w:val="00717F60"/>
  </w:style>
  <w:style w:type="paragraph" w:customStyle="1" w:styleId="AAAE47D56584490CBD7CBC0D2F958E6A">
    <w:name w:val="AAAE47D56584490CBD7CBC0D2F958E6A"/>
    <w:rsid w:val="00717F60"/>
  </w:style>
  <w:style w:type="paragraph" w:customStyle="1" w:styleId="972F2419AFFC4FF79B6E9F9B730237C6">
    <w:name w:val="972F2419AFFC4FF79B6E9F9B730237C6"/>
    <w:rsid w:val="00717F60"/>
  </w:style>
  <w:style w:type="paragraph" w:customStyle="1" w:styleId="3B606D0B894B44A782F2D501251985F2">
    <w:name w:val="3B606D0B894B44A782F2D501251985F2"/>
    <w:rsid w:val="00717F60"/>
  </w:style>
  <w:style w:type="paragraph" w:customStyle="1" w:styleId="3C5F435CAE8844F38F0CE16F9339624B">
    <w:name w:val="3C5F435CAE8844F38F0CE16F9339624B"/>
    <w:rsid w:val="00717F60"/>
  </w:style>
  <w:style w:type="paragraph" w:customStyle="1" w:styleId="503CDE4B475A4D189D974F275AB804381">
    <w:name w:val="503CDE4B475A4D189D974F275AB804381"/>
    <w:rsid w:val="00717F60"/>
    <w:pPr>
      <w:keepLines/>
      <w:pBdr>
        <w:top w:val="single" w:sz="48" w:space="0" w:color="44546A" w:themeColor="text2"/>
        <w:left w:val="single" w:sz="48" w:space="0" w:color="44546A" w:themeColor="text2"/>
        <w:bottom w:val="single" w:sz="48" w:space="0" w:color="44546A" w:themeColor="text2"/>
        <w:right w:val="single" w:sz="48" w:space="0" w:color="44546A" w:themeColor="text2"/>
      </w:pBdr>
      <w:shd w:val="clear" w:color="auto" w:fill="44546A" w:themeFill="text2"/>
      <w:spacing w:before="240" w:after="0" w:line="216" w:lineRule="auto"/>
      <w:contextualSpacing/>
    </w:pPr>
    <w:rPr>
      <w:rFonts w:asciiTheme="majorHAnsi" w:eastAsiaTheme="majorEastAsia" w:hAnsiTheme="majorHAnsi" w:cstheme="majorBidi"/>
      <w:color w:val="FFFFFF" w:themeColor="background1"/>
      <w:spacing w:val="2"/>
      <w:kern w:val="28"/>
      <w:sz w:val="40"/>
      <w:szCs w:val="44"/>
      <w:bdr w:val="single" w:sz="48" w:space="0" w:color="44546A" w:themeColor="text2"/>
      <w:lang w:eastAsia="en-US"/>
    </w:rPr>
  </w:style>
  <w:style w:type="paragraph" w:customStyle="1" w:styleId="F7F856F023494C65BD2CECDDE466963E1">
    <w:name w:val="F7F856F023494C65BD2CECDDE466963E1"/>
    <w:rsid w:val="00717F60"/>
    <w:pPr>
      <w:keepLines/>
      <w:pBdr>
        <w:top w:val="single" w:sz="48" w:space="0" w:color="44546A" w:themeColor="text2"/>
        <w:left w:val="single" w:sz="48" w:space="0" w:color="44546A" w:themeColor="text2"/>
        <w:bottom w:val="single" w:sz="48" w:space="0" w:color="44546A" w:themeColor="text2"/>
        <w:right w:val="single" w:sz="48" w:space="0" w:color="44546A" w:themeColor="text2"/>
      </w:pBdr>
      <w:shd w:val="clear" w:color="auto" w:fill="44546A" w:themeFill="text2"/>
      <w:spacing w:before="240" w:after="0" w:line="216" w:lineRule="auto"/>
      <w:contextualSpacing/>
    </w:pPr>
    <w:rPr>
      <w:rFonts w:asciiTheme="majorHAnsi" w:eastAsiaTheme="majorEastAsia" w:hAnsiTheme="majorHAnsi" w:cstheme="majorBidi"/>
      <w:color w:val="FFFFFF" w:themeColor="background1"/>
      <w:spacing w:val="2"/>
      <w:kern w:val="28"/>
      <w:sz w:val="40"/>
      <w:szCs w:val="44"/>
      <w:bdr w:val="single" w:sz="48" w:space="0" w:color="44546A" w:themeColor="text2"/>
      <w:lang w:eastAsia="en-US"/>
    </w:rPr>
  </w:style>
  <w:style w:type="paragraph" w:customStyle="1" w:styleId="003D6F28DDB24C80BF4B1DBEEB2B4FCF1">
    <w:name w:val="003D6F28DDB24C80BF4B1DBEEB2B4FCF1"/>
    <w:rsid w:val="00717F60"/>
    <w:pPr>
      <w:keepLines/>
      <w:pBdr>
        <w:top w:val="single" w:sz="48" w:space="0" w:color="5B9BD5" w:themeColor="accent1"/>
        <w:left w:val="single" w:sz="48" w:space="0" w:color="5B9BD5" w:themeColor="accent1"/>
        <w:bottom w:val="single" w:sz="48" w:space="0" w:color="5B9BD5" w:themeColor="accent1"/>
        <w:right w:val="single" w:sz="48" w:space="0" w:color="5B9BD5" w:themeColor="accent1"/>
      </w:pBdr>
      <w:shd w:val="clear" w:color="auto" w:fill="5B9BD5" w:themeFill="accent1"/>
      <w:spacing w:before="240" w:after="0" w:line="216" w:lineRule="auto"/>
      <w:contextualSpacing/>
    </w:pPr>
    <w:rPr>
      <w:rFonts w:asciiTheme="majorHAnsi" w:eastAsiaTheme="majorEastAsia" w:hAnsiTheme="majorHAnsi" w:cstheme="majorBidi"/>
      <w:color w:val="FFFFFF" w:themeColor="background1"/>
      <w:spacing w:val="2"/>
      <w:kern w:val="28"/>
      <w:sz w:val="44"/>
      <w:szCs w:val="44"/>
      <w:bdr w:val="single" w:sz="48" w:space="0" w:color="5B9BD5" w:themeColor="accent1"/>
      <w:shd w:val="clear" w:color="auto" w:fill="5B9BD5" w:themeFill="accent1"/>
      <w:lang w:eastAsia="en-US"/>
    </w:rPr>
  </w:style>
  <w:style w:type="paragraph" w:customStyle="1" w:styleId="B0082F5FB05746E19C0D1F61DB9147CE1">
    <w:name w:val="B0082F5FB05746E19C0D1F61DB9147CE1"/>
    <w:rsid w:val="00717F60"/>
    <w:pPr>
      <w:keepLines/>
      <w:spacing w:before="240" w:after="0" w:line="276" w:lineRule="auto"/>
    </w:pPr>
    <w:rPr>
      <w:rFonts w:eastAsiaTheme="minorHAnsi"/>
      <w:sz w:val="36"/>
      <w:lang w:eastAsia="en-US"/>
    </w:rPr>
  </w:style>
  <w:style w:type="paragraph" w:customStyle="1" w:styleId="862F10FBA090498A8BFF5ED16E79E7081">
    <w:name w:val="862F10FBA090498A8BFF5ED16E79E7081"/>
    <w:rsid w:val="00717F60"/>
    <w:pPr>
      <w:keepLines/>
      <w:spacing w:before="240" w:after="0" w:line="276" w:lineRule="auto"/>
    </w:pPr>
    <w:rPr>
      <w:rFonts w:eastAsiaTheme="minorHAnsi"/>
      <w:sz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E0ED-7D54-4E7F-A30B-57EA307A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4991</Words>
  <Characters>28450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2022-04-22T14:41:00Z</dcterms:created>
  <dcterms:modified xsi:type="dcterms:W3CDTF">2022-04-22T14:41:00Z</dcterms:modified>
</cp:coreProperties>
</file>