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D0" w:rsidRDefault="00015D57" w:rsidP="008F69D0">
      <w:pPr>
        <w:tabs>
          <w:tab w:val="left" w:pos="6663"/>
        </w:tabs>
        <w:jc w:val="right"/>
        <w:rPr>
          <w:b/>
          <w:sz w:val="22"/>
          <w:u w:val="single"/>
        </w:rPr>
      </w:pPr>
      <w:r>
        <w:rPr>
          <w:b/>
          <w:sz w:val="22"/>
          <w:u w:val="single"/>
        </w:rPr>
        <w:t xml:space="preserve">APPEAL NO: </w:t>
      </w:r>
      <w:r w:rsidR="008F69D0">
        <w:rPr>
          <w:b/>
          <w:sz w:val="22"/>
          <w:u w:val="single"/>
        </w:rPr>
        <w:t>C</w:t>
      </w:r>
      <w:r>
        <w:rPr>
          <w:b/>
          <w:sz w:val="22"/>
          <w:u w:val="single"/>
        </w:rPr>
        <w:t>1/2012/0520</w:t>
      </w:r>
    </w:p>
    <w:p w:rsidR="00C30164" w:rsidRDefault="00C30164" w:rsidP="008F69D0">
      <w:pPr>
        <w:tabs>
          <w:tab w:val="left" w:pos="6663"/>
        </w:tabs>
        <w:rPr>
          <w:b/>
          <w:sz w:val="22"/>
          <w:u w:val="single"/>
        </w:rPr>
      </w:pPr>
      <w:r>
        <w:rPr>
          <w:b/>
          <w:sz w:val="22"/>
          <w:u w:val="single"/>
        </w:rPr>
        <w:t xml:space="preserve">IN THE </w:t>
      </w:r>
      <w:r w:rsidR="00015D57">
        <w:rPr>
          <w:b/>
          <w:sz w:val="22"/>
          <w:u w:val="single"/>
        </w:rPr>
        <w:t>COURT OF APPEAL</w:t>
      </w:r>
    </w:p>
    <w:p w:rsidR="00F80B55" w:rsidRDefault="00015D57" w:rsidP="008F69D0">
      <w:pPr>
        <w:tabs>
          <w:tab w:val="left" w:pos="6663"/>
        </w:tabs>
        <w:outlineLvl w:val="0"/>
        <w:rPr>
          <w:b/>
          <w:sz w:val="22"/>
          <w:u w:val="single"/>
        </w:rPr>
      </w:pPr>
      <w:r>
        <w:rPr>
          <w:b/>
          <w:sz w:val="22"/>
          <w:u w:val="single"/>
        </w:rPr>
        <w:t>ON APPEAL FROM THE ADMINISTRATIVE COURT</w:t>
      </w:r>
    </w:p>
    <w:p w:rsidR="00015D57" w:rsidRPr="00015D57" w:rsidRDefault="00015D57" w:rsidP="008F69D0">
      <w:pPr>
        <w:tabs>
          <w:tab w:val="left" w:pos="6663"/>
        </w:tabs>
        <w:outlineLvl w:val="0"/>
        <w:rPr>
          <w:b/>
          <w:sz w:val="22"/>
        </w:rPr>
      </w:pPr>
      <w:r w:rsidRPr="00015D57">
        <w:rPr>
          <w:b/>
          <w:sz w:val="22"/>
        </w:rPr>
        <w:t>(Kenneth Parker J)</w:t>
      </w:r>
    </w:p>
    <w:p w:rsidR="00C30164" w:rsidRDefault="00C30164" w:rsidP="008F69D0">
      <w:pPr>
        <w:tabs>
          <w:tab w:val="left" w:pos="6663"/>
        </w:tabs>
        <w:outlineLvl w:val="0"/>
        <w:rPr>
          <w:b/>
          <w:sz w:val="22"/>
          <w:u w:val="single"/>
        </w:rPr>
      </w:pPr>
      <w:r>
        <w:rPr>
          <w:sz w:val="22"/>
        </w:rPr>
        <w:tab/>
      </w:r>
      <w:r>
        <w:rPr>
          <w:b/>
          <w:sz w:val="22"/>
          <w:u w:val="single"/>
        </w:rPr>
        <w:t xml:space="preserve"> </w:t>
      </w:r>
    </w:p>
    <w:p w:rsidR="00C30164" w:rsidRDefault="00C30164" w:rsidP="008F69D0">
      <w:pPr>
        <w:outlineLvl w:val="0"/>
        <w:rPr>
          <w:bCs/>
          <w:sz w:val="22"/>
        </w:rPr>
      </w:pPr>
      <w:r>
        <w:rPr>
          <w:bCs/>
          <w:sz w:val="22"/>
        </w:rPr>
        <w:t xml:space="preserve">B E T W E </w:t>
      </w:r>
      <w:proofErr w:type="spellStart"/>
      <w:r>
        <w:rPr>
          <w:bCs/>
          <w:sz w:val="22"/>
        </w:rPr>
        <w:t>E</w:t>
      </w:r>
      <w:proofErr w:type="spellEnd"/>
      <w:r>
        <w:rPr>
          <w:bCs/>
          <w:sz w:val="22"/>
        </w:rPr>
        <w:t xml:space="preserve"> N :-</w:t>
      </w:r>
    </w:p>
    <w:p w:rsidR="00C30164" w:rsidRDefault="00C30164" w:rsidP="008F69D0">
      <w:pPr>
        <w:pBdr>
          <w:bottom w:val="single" w:sz="12" w:space="1" w:color="auto"/>
        </w:pBdr>
        <w:ind w:left="1440" w:hanging="1440"/>
        <w:jc w:val="center"/>
        <w:rPr>
          <w:b/>
          <w:sz w:val="16"/>
        </w:rPr>
      </w:pPr>
    </w:p>
    <w:p w:rsidR="00F80B55" w:rsidRDefault="008F69D0" w:rsidP="008F69D0">
      <w:pPr>
        <w:pBdr>
          <w:bottom w:val="single" w:sz="12" w:space="1" w:color="auto"/>
        </w:pBdr>
        <w:ind w:left="1440" w:hanging="1440"/>
        <w:jc w:val="center"/>
        <w:rPr>
          <w:b/>
          <w:sz w:val="22"/>
        </w:rPr>
      </w:pPr>
      <w:r>
        <w:rPr>
          <w:b/>
          <w:sz w:val="22"/>
        </w:rPr>
        <w:t xml:space="preserve">THE QUEEN (on the application of </w:t>
      </w:r>
      <w:r w:rsidR="00015D57">
        <w:rPr>
          <w:b/>
          <w:sz w:val="22"/>
        </w:rPr>
        <w:t>T</w:t>
      </w:r>
      <w:r>
        <w:rPr>
          <w:b/>
          <w:sz w:val="22"/>
        </w:rPr>
        <w:t>)</w:t>
      </w:r>
    </w:p>
    <w:p w:rsidR="00C30164" w:rsidRDefault="00015D57" w:rsidP="008F69D0">
      <w:pPr>
        <w:pBdr>
          <w:bottom w:val="single" w:sz="12" w:space="1" w:color="auto"/>
        </w:pBdr>
        <w:ind w:left="1440" w:hanging="1440"/>
        <w:jc w:val="right"/>
        <w:rPr>
          <w:sz w:val="22"/>
          <w:u w:val="single"/>
        </w:rPr>
      </w:pPr>
      <w:r>
        <w:rPr>
          <w:sz w:val="22"/>
          <w:u w:val="single"/>
        </w:rPr>
        <w:t>Appellant</w:t>
      </w:r>
    </w:p>
    <w:p w:rsidR="00C30164" w:rsidRDefault="00C30164" w:rsidP="008F69D0">
      <w:pPr>
        <w:pBdr>
          <w:bottom w:val="single" w:sz="12" w:space="1" w:color="auto"/>
        </w:pBdr>
        <w:ind w:left="1440" w:hanging="1440"/>
        <w:jc w:val="center"/>
        <w:rPr>
          <w:b/>
          <w:sz w:val="22"/>
        </w:rPr>
      </w:pPr>
    </w:p>
    <w:p w:rsidR="00C30164" w:rsidRDefault="00C30164" w:rsidP="008F69D0">
      <w:pPr>
        <w:pBdr>
          <w:bottom w:val="single" w:sz="12" w:space="1" w:color="auto"/>
        </w:pBdr>
        <w:ind w:left="1440" w:hanging="1440"/>
        <w:jc w:val="center"/>
        <w:rPr>
          <w:b/>
          <w:sz w:val="22"/>
        </w:rPr>
      </w:pPr>
      <w:r>
        <w:rPr>
          <w:b/>
          <w:sz w:val="22"/>
        </w:rPr>
        <w:t>-and-</w:t>
      </w:r>
    </w:p>
    <w:p w:rsidR="00C30164" w:rsidRDefault="00C30164" w:rsidP="008F69D0">
      <w:pPr>
        <w:pBdr>
          <w:bottom w:val="single" w:sz="12" w:space="1" w:color="auto"/>
        </w:pBdr>
        <w:ind w:left="1440" w:hanging="1440"/>
        <w:jc w:val="center"/>
        <w:rPr>
          <w:b/>
          <w:sz w:val="22"/>
          <w:szCs w:val="22"/>
        </w:rPr>
      </w:pPr>
    </w:p>
    <w:p w:rsidR="00C30164" w:rsidRDefault="00015D57" w:rsidP="008F69D0">
      <w:pPr>
        <w:pBdr>
          <w:bottom w:val="single" w:sz="12" w:space="1" w:color="auto"/>
        </w:pBdr>
        <w:ind w:left="1440" w:hanging="1440"/>
        <w:jc w:val="center"/>
        <w:rPr>
          <w:b/>
          <w:sz w:val="22"/>
          <w:szCs w:val="22"/>
        </w:rPr>
      </w:pPr>
      <w:r>
        <w:rPr>
          <w:b/>
          <w:sz w:val="22"/>
          <w:szCs w:val="22"/>
        </w:rPr>
        <w:t>(1) THE CHIEF CONSTABLE OF GREATER MANCHESTER POLICE</w:t>
      </w:r>
    </w:p>
    <w:p w:rsidR="00015D57" w:rsidRDefault="00015D57" w:rsidP="008F69D0">
      <w:pPr>
        <w:pBdr>
          <w:bottom w:val="single" w:sz="12" w:space="1" w:color="auto"/>
        </w:pBdr>
        <w:ind w:left="1440" w:hanging="1440"/>
        <w:jc w:val="center"/>
        <w:rPr>
          <w:b/>
          <w:sz w:val="22"/>
          <w:szCs w:val="22"/>
        </w:rPr>
      </w:pPr>
      <w:r>
        <w:rPr>
          <w:b/>
          <w:sz w:val="22"/>
          <w:szCs w:val="22"/>
        </w:rPr>
        <w:t>(2) THE SECRETARY OF STATE FOR THE HOME DEPARTMENT</w:t>
      </w:r>
    </w:p>
    <w:p w:rsidR="008F69D0" w:rsidRPr="008F69D0" w:rsidRDefault="00015D57" w:rsidP="008F69D0">
      <w:pPr>
        <w:pBdr>
          <w:bottom w:val="single" w:sz="12" w:space="1" w:color="auto"/>
        </w:pBdr>
        <w:ind w:left="1440" w:hanging="1440"/>
        <w:jc w:val="right"/>
        <w:rPr>
          <w:sz w:val="22"/>
          <w:szCs w:val="22"/>
          <w:u w:val="single"/>
        </w:rPr>
      </w:pPr>
      <w:r>
        <w:rPr>
          <w:sz w:val="22"/>
          <w:szCs w:val="22"/>
          <w:u w:val="single"/>
        </w:rPr>
        <w:t>Respondents</w:t>
      </w:r>
      <w:r w:rsidR="008F69D0" w:rsidRPr="008F69D0">
        <w:rPr>
          <w:sz w:val="22"/>
          <w:szCs w:val="22"/>
          <w:u w:val="single"/>
        </w:rPr>
        <w:t xml:space="preserve"> </w:t>
      </w:r>
    </w:p>
    <w:p w:rsidR="00151185" w:rsidRDefault="00151185" w:rsidP="008F69D0">
      <w:pPr>
        <w:pBdr>
          <w:bottom w:val="single" w:sz="12" w:space="1" w:color="auto"/>
        </w:pBdr>
        <w:ind w:left="1440" w:hanging="1440"/>
        <w:jc w:val="center"/>
        <w:rPr>
          <w:b/>
          <w:sz w:val="22"/>
          <w:szCs w:val="22"/>
        </w:rPr>
      </w:pPr>
    </w:p>
    <w:p w:rsidR="008F69D0" w:rsidRDefault="008F69D0" w:rsidP="008F69D0">
      <w:pPr>
        <w:pBdr>
          <w:bottom w:val="single" w:sz="12" w:space="1" w:color="auto"/>
        </w:pBdr>
        <w:ind w:left="1440" w:hanging="1440"/>
        <w:jc w:val="center"/>
        <w:rPr>
          <w:b/>
          <w:sz w:val="22"/>
          <w:szCs w:val="22"/>
        </w:rPr>
      </w:pPr>
      <w:r>
        <w:rPr>
          <w:b/>
          <w:sz w:val="22"/>
          <w:szCs w:val="22"/>
        </w:rPr>
        <w:t>and</w:t>
      </w:r>
    </w:p>
    <w:p w:rsidR="008F69D0" w:rsidRPr="00151185" w:rsidRDefault="008F69D0" w:rsidP="008F69D0">
      <w:pPr>
        <w:pBdr>
          <w:bottom w:val="single" w:sz="12" w:space="1" w:color="auto"/>
        </w:pBdr>
        <w:ind w:left="1440" w:hanging="1440"/>
        <w:jc w:val="center"/>
        <w:rPr>
          <w:b/>
          <w:sz w:val="22"/>
          <w:szCs w:val="22"/>
        </w:rPr>
      </w:pPr>
    </w:p>
    <w:p w:rsidR="00151185" w:rsidRDefault="00015D57" w:rsidP="008F69D0">
      <w:pPr>
        <w:pBdr>
          <w:bottom w:val="single" w:sz="12" w:space="1" w:color="auto"/>
        </w:pBdr>
        <w:ind w:left="1440" w:hanging="1440"/>
        <w:jc w:val="center"/>
        <w:rPr>
          <w:b/>
          <w:sz w:val="22"/>
          <w:szCs w:val="22"/>
        </w:rPr>
      </w:pPr>
      <w:r>
        <w:rPr>
          <w:b/>
          <w:sz w:val="22"/>
          <w:szCs w:val="22"/>
        </w:rPr>
        <w:t>THE SECRETARY OF STATE FOR JUSTICE</w:t>
      </w:r>
    </w:p>
    <w:p w:rsidR="00151185" w:rsidRPr="008F69D0" w:rsidRDefault="008F69D0" w:rsidP="008F69D0">
      <w:pPr>
        <w:pBdr>
          <w:bottom w:val="single" w:sz="12" w:space="1" w:color="auto"/>
        </w:pBdr>
        <w:ind w:left="1440" w:hanging="1440"/>
        <w:jc w:val="right"/>
        <w:rPr>
          <w:sz w:val="22"/>
          <w:szCs w:val="22"/>
          <w:u w:val="single"/>
        </w:rPr>
      </w:pPr>
      <w:r w:rsidRPr="008F69D0">
        <w:rPr>
          <w:sz w:val="22"/>
          <w:szCs w:val="22"/>
          <w:u w:val="single"/>
        </w:rPr>
        <w:t>Interested Party</w:t>
      </w:r>
    </w:p>
    <w:p w:rsidR="008F69D0" w:rsidRDefault="00E72176" w:rsidP="008F69D0">
      <w:pPr>
        <w:pBdr>
          <w:bottom w:val="single" w:sz="12" w:space="1" w:color="auto"/>
        </w:pBdr>
        <w:ind w:left="1440" w:hanging="1440"/>
        <w:jc w:val="center"/>
        <w:rPr>
          <w:b/>
          <w:sz w:val="22"/>
          <w:szCs w:val="22"/>
        </w:rPr>
      </w:pPr>
      <w:r>
        <w:rPr>
          <w:b/>
          <w:sz w:val="22"/>
          <w:szCs w:val="22"/>
        </w:rPr>
        <w:t>and</w:t>
      </w:r>
    </w:p>
    <w:p w:rsidR="00E72176" w:rsidRPr="00151185" w:rsidRDefault="00E72176" w:rsidP="008F69D0">
      <w:pPr>
        <w:pBdr>
          <w:bottom w:val="single" w:sz="12" w:space="1" w:color="auto"/>
        </w:pBdr>
        <w:ind w:left="1440" w:hanging="1440"/>
        <w:jc w:val="center"/>
        <w:rPr>
          <w:b/>
          <w:sz w:val="22"/>
          <w:szCs w:val="22"/>
        </w:rPr>
      </w:pPr>
    </w:p>
    <w:p w:rsidR="005D5E82" w:rsidRDefault="00232104" w:rsidP="008F69D0">
      <w:pPr>
        <w:pBdr>
          <w:bottom w:val="single" w:sz="12" w:space="1" w:color="auto"/>
        </w:pBdr>
        <w:ind w:left="1440" w:hanging="1440"/>
        <w:jc w:val="center"/>
        <w:rPr>
          <w:b/>
          <w:sz w:val="22"/>
          <w:szCs w:val="22"/>
        </w:rPr>
      </w:pPr>
      <w:r>
        <w:rPr>
          <w:b/>
          <w:sz w:val="22"/>
          <w:szCs w:val="22"/>
        </w:rPr>
        <w:t xml:space="preserve">(1) </w:t>
      </w:r>
      <w:r w:rsidR="005D5E82">
        <w:rPr>
          <w:b/>
          <w:sz w:val="22"/>
          <w:szCs w:val="22"/>
        </w:rPr>
        <w:t>LIBERTY</w:t>
      </w:r>
    </w:p>
    <w:p w:rsidR="0058263E" w:rsidRDefault="0058263E">
      <w:pPr>
        <w:pBdr>
          <w:bottom w:val="single" w:sz="12" w:space="1" w:color="auto"/>
        </w:pBdr>
        <w:ind w:left="1440" w:hanging="1440"/>
        <w:rPr>
          <w:b/>
          <w:sz w:val="22"/>
          <w:szCs w:val="22"/>
        </w:rPr>
      </w:pPr>
    </w:p>
    <w:p w:rsidR="00151185" w:rsidRDefault="00232104" w:rsidP="008F69D0">
      <w:pPr>
        <w:pBdr>
          <w:bottom w:val="single" w:sz="12" w:space="1" w:color="auto"/>
        </w:pBdr>
        <w:ind w:left="1440" w:hanging="1440"/>
        <w:jc w:val="center"/>
        <w:rPr>
          <w:b/>
          <w:sz w:val="22"/>
          <w:szCs w:val="22"/>
        </w:rPr>
      </w:pPr>
      <w:r>
        <w:rPr>
          <w:b/>
          <w:sz w:val="22"/>
          <w:szCs w:val="22"/>
        </w:rPr>
        <w:t xml:space="preserve">(2) </w:t>
      </w:r>
      <w:r w:rsidR="00E72176">
        <w:rPr>
          <w:b/>
          <w:sz w:val="22"/>
          <w:szCs w:val="22"/>
        </w:rPr>
        <w:t>EQUALITY AND HUMAN RIGHTS COMMISSION</w:t>
      </w:r>
    </w:p>
    <w:p w:rsidR="008F69D0" w:rsidRPr="008F69D0" w:rsidRDefault="00E72176" w:rsidP="008F69D0">
      <w:pPr>
        <w:pBdr>
          <w:bottom w:val="single" w:sz="12" w:space="1" w:color="auto"/>
        </w:pBdr>
        <w:ind w:left="1440" w:hanging="1440"/>
        <w:jc w:val="right"/>
        <w:rPr>
          <w:sz w:val="22"/>
          <w:szCs w:val="22"/>
          <w:u w:val="single"/>
        </w:rPr>
      </w:pPr>
      <w:r>
        <w:rPr>
          <w:sz w:val="22"/>
          <w:szCs w:val="22"/>
          <w:u w:val="single"/>
        </w:rPr>
        <w:t>Intervener</w:t>
      </w:r>
      <w:r w:rsidR="005D5E82">
        <w:rPr>
          <w:sz w:val="22"/>
          <w:szCs w:val="22"/>
          <w:u w:val="single"/>
        </w:rPr>
        <w:t>s</w:t>
      </w:r>
    </w:p>
    <w:p w:rsidR="008F69D0" w:rsidRDefault="008F69D0" w:rsidP="008F69D0">
      <w:pPr>
        <w:pBdr>
          <w:bottom w:val="single" w:sz="12" w:space="1" w:color="auto"/>
        </w:pBdr>
        <w:ind w:left="1440" w:hanging="1440"/>
        <w:jc w:val="center"/>
        <w:rPr>
          <w:b/>
          <w:sz w:val="22"/>
          <w:szCs w:val="22"/>
        </w:rPr>
      </w:pPr>
    </w:p>
    <w:p w:rsidR="008F69D0" w:rsidRDefault="008F69D0" w:rsidP="00612C89">
      <w:pPr>
        <w:pBdr>
          <w:bottom w:val="single" w:sz="12" w:space="1" w:color="auto"/>
        </w:pBdr>
        <w:ind w:left="1440" w:hanging="1440"/>
        <w:jc w:val="center"/>
        <w:rPr>
          <w:sz w:val="22"/>
        </w:rPr>
      </w:pPr>
    </w:p>
    <w:p w:rsidR="00C30164" w:rsidRDefault="00C30164" w:rsidP="00C30164">
      <w:pPr>
        <w:ind w:left="1440" w:hanging="1440"/>
        <w:jc w:val="center"/>
        <w:rPr>
          <w:b/>
          <w:sz w:val="22"/>
        </w:rPr>
      </w:pPr>
    </w:p>
    <w:p w:rsidR="00232104" w:rsidRDefault="00232104" w:rsidP="00232104">
      <w:pPr>
        <w:pBdr>
          <w:bottom w:val="single" w:sz="12" w:space="1" w:color="auto"/>
        </w:pBdr>
        <w:ind w:left="1440" w:hanging="1440"/>
        <w:jc w:val="center"/>
        <w:rPr>
          <w:b/>
          <w:sz w:val="22"/>
        </w:rPr>
      </w:pPr>
      <w:r>
        <w:rPr>
          <w:b/>
          <w:sz w:val="22"/>
        </w:rPr>
        <w:t>SUBMISSIONS ON BEHALF OF</w:t>
      </w:r>
    </w:p>
    <w:p w:rsidR="00E72176" w:rsidRPr="000B53F9" w:rsidRDefault="00E72176" w:rsidP="00232104">
      <w:pPr>
        <w:pBdr>
          <w:bottom w:val="single" w:sz="12" w:space="1" w:color="auto"/>
        </w:pBdr>
        <w:ind w:left="1440" w:hanging="1440"/>
        <w:jc w:val="center"/>
        <w:rPr>
          <w:b/>
          <w:sz w:val="22"/>
        </w:rPr>
      </w:pPr>
      <w:r>
        <w:rPr>
          <w:b/>
          <w:sz w:val="22"/>
        </w:rPr>
        <w:t xml:space="preserve"> THE EQUALITY AND HUMAN </w:t>
      </w:r>
      <w:r w:rsidR="00232104">
        <w:rPr>
          <w:b/>
          <w:sz w:val="22"/>
        </w:rPr>
        <w:t>RIGHTS COMMISSION</w:t>
      </w:r>
    </w:p>
    <w:p w:rsidR="00C30164" w:rsidRDefault="00C30164" w:rsidP="00C30164">
      <w:pPr>
        <w:pBdr>
          <w:bottom w:val="single" w:sz="12" w:space="1" w:color="auto"/>
        </w:pBdr>
        <w:ind w:left="1440" w:hanging="1440"/>
        <w:jc w:val="center"/>
        <w:rPr>
          <w:b/>
          <w:sz w:val="22"/>
        </w:rPr>
      </w:pPr>
      <w:r>
        <w:rPr>
          <w:b/>
          <w:sz w:val="22"/>
        </w:rPr>
        <w:t xml:space="preserve"> </w:t>
      </w:r>
    </w:p>
    <w:p w:rsidR="00E72176" w:rsidRDefault="008C18FD" w:rsidP="00E72176">
      <w:pPr>
        <w:pStyle w:val="ListParagraph"/>
        <w:spacing w:line="360" w:lineRule="auto"/>
        <w:ind w:left="567"/>
        <w:jc w:val="both"/>
        <w:rPr>
          <w:b/>
          <w:sz w:val="22"/>
          <w:szCs w:val="22"/>
        </w:rPr>
      </w:pPr>
      <w:r w:rsidRPr="008C18FD">
        <w:rPr>
          <w:b/>
          <w:noProof/>
          <w:sz w:val="22"/>
          <w:szCs w:val="22"/>
          <w:lang w:val="en-US"/>
        </w:rPr>
        <w:pict>
          <v:shapetype id="_x0000_t202" coordsize="21600,21600" o:spt="202" path="m,l,21600r21600,l21600,xe">
            <v:stroke joinstyle="miter"/>
            <v:path gradientshapeok="t" o:connecttype="rect"/>
          </v:shapetype>
          <v:shape id="_x0000_s1028" type="#_x0000_t202" style="position:absolute;left:0;text-align:left;margin-left:1.5pt;margin-top:13.7pt;width:261pt;height:230.25pt;z-index:251658240">
            <v:textbox>
              <w:txbxContent>
                <w:p w:rsidR="00972A13" w:rsidRPr="00E72176" w:rsidRDefault="00972A13" w:rsidP="00E72176">
                  <w:pPr>
                    <w:spacing w:line="360" w:lineRule="auto"/>
                    <w:rPr>
                      <w:b/>
                      <w:sz w:val="22"/>
                      <w:szCs w:val="22"/>
                    </w:rPr>
                  </w:pPr>
                  <w:r w:rsidRPr="00E72176">
                    <w:rPr>
                      <w:b/>
                      <w:sz w:val="22"/>
                      <w:szCs w:val="22"/>
                    </w:rPr>
                    <w:t>Caoilfhionn Gallagher</w:t>
                  </w:r>
                </w:p>
                <w:p w:rsidR="00972A13" w:rsidRPr="00E72176" w:rsidRDefault="00972A13" w:rsidP="00E72176">
                  <w:pPr>
                    <w:spacing w:line="360" w:lineRule="auto"/>
                    <w:rPr>
                      <w:b/>
                      <w:sz w:val="22"/>
                      <w:szCs w:val="22"/>
                    </w:rPr>
                  </w:pPr>
                  <w:r w:rsidRPr="00E72176">
                    <w:rPr>
                      <w:b/>
                      <w:sz w:val="22"/>
                      <w:szCs w:val="22"/>
                    </w:rPr>
                    <w:t>Doughty Street Chambers</w:t>
                  </w:r>
                </w:p>
                <w:p w:rsidR="00972A13" w:rsidRPr="00E72176" w:rsidRDefault="00972A13" w:rsidP="00E72176">
                  <w:pPr>
                    <w:spacing w:line="360" w:lineRule="auto"/>
                    <w:rPr>
                      <w:sz w:val="22"/>
                      <w:szCs w:val="22"/>
                    </w:rPr>
                  </w:pPr>
                  <w:r>
                    <w:rPr>
                      <w:sz w:val="22"/>
                      <w:szCs w:val="22"/>
                    </w:rPr>
                    <w:t xml:space="preserve">Counsel for the Second </w:t>
                  </w:r>
                  <w:r w:rsidRPr="00E72176">
                    <w:rPr>
                      <w:sz w:val="22"/>
                      <w:szCs w:val="22"/>
                    </w:rPr>
                    <w:t>Intervener, the Equality and Human Rights Commission</w:t>
                  </w:r>
                </w:p>
                <w:p w:rsidR="00972A13" w:rsidRPr="00E72176" w:rsidRDefault="00972A13" w:rsidP="00E72176">
                  <w:pPr>
                    <w:spacing w:line="360" w:lineRule="auto"/>
                    <w:rPr>
                      <w:sz w:val="22"/>
                      <w:szCs w:val="22"/>
                    </w:rPr>
                  </w:pPr>
                </w:p>
                <w:p w:rsidR="00972A13" w:rsidRPr="00E72176" w:rsidRDefault="00972A13" w:rsidP="00E72176">
                  <w:pPr>
                    <w:spacing w:line="360" w:lineRule="auto"/>
                    <w:rPr>
                      <w:b/>
                      <w:sz w:val="22"/>
                      <w:szCs w:val="22"/>
                    </w:rPr>
                  </w:pPr>
                  <w:r w:rsidRPr="00E72176">
                    <w:rPr>
                      <w:b/>
                      <w:sz w:val="22"/>
                      <w:szCs w:val="22"/>
                    </w:rPr>
                    <w:t>Katy Reade</w:t>
                  </w:r>
                </w:p>
                <w:p w:rsidR="00972A13" w:rsidRPr="00E72176" w:rsidRDefault="00972A13" w:rsidP="00E72176">
                  <w:pPr>
                    <w:spacing w:line="360" w:lineRule="auto"/>
                    <w:rPr>
                      <w:b/>
                      <w:sz w:val="22"/>
                      <w:szCs w:val="22"/>
                    </w:rPr>
                  </w:pPr>
                  <w:r w:rsidRPr="00E72176">
                    <w:rPr>
                      <w:b/>
                      <w:sz w:val="22"/>
                      <w:szCs w:val="22"/>
                    </w:rPr>
                    <w:t>Senior Lawyer (Solicitor)</w:t>
                  </w:r>
                </w:p>
                <w:p w:rsidR="00972A13" w:rsidRDefault="00972A13" w:rsidP="00E72176">
                  <w:pPr>
                    <w:spacing w:line="360" w:lineRule="auto"/>
                    <w:rPr>
                      <w:sz w:val="22"/>
                      <w:szCs w:val="22"/>
                    </w:rPr>
                  </w:pPr>
                  <w:r>
                    <w:rPr>
                      <w:sz w:val="22"/>
                      <w:szCs w:val="22"/>
                    </w:rPr>
                    <w:t xml:space="preserve">Solicitor for the Second </w:t>
                  </w:r>
                  <w:r w:rsidRPr="00E72176">
                    <w:rPr>
                      <w:sz w:val="22"/>
                      <w:szCs w:val="22"/>
                    </w:rPr>
                    <w:t>Intervener, the Equality and Human Rights Commission</w:t>
                  </w:r>
                </w:p>
                <w:p w:rsidR="00972A13" w:rsidRDefault="00972A13" w:rsidP="00E72176">
                  <w:pPr>
                    <w:spacing w:line="360" w:lineRule="auto"/>
                    <w:rPr>
                      <w:sz w:val="22"/>
                      <w:szCs w:val="22"/>
                    </w:rPr>
                  </w:pPr>
                </w:p>
                <w:p w:rsidR="00972A13" w:rsidRPr="00E72176" w:rsidRDefault="00972A13" w:rsidP="00E72176">
                  <w:pPr>
                    <w:spacing w:line="360" w:lineRule="auto"/>
                    <w:rPr>
                      <w:b/>
                      <w:sz w:val="22"/>
                      <w:szCs w:val="22"/>
                    </w:rPr>
                  </w:pPr>
                  <w:r>
                    <w:rPr>
                      <w:b/>
                      <w:sz w:val="22"/>
                      <w:szCs w:val="22"/>
                    </w:rPr>
                    <w:t>14</w:t>
                  </w:r>
                  <w:r w:rsidRPr="00232104">
                    <w:rPr>
                      <w:b/>
                      <w:sz w:val="22"/>
                      <w:szCs w:val="22"/>
                      <w:vertAlign w:val="superscript"/>
                    </w:rPr>
                    <w:t>th</w:t>
                  </w:r>
                  <w:r>
                    <w:rPr>
                      <w:b/>
                      <w:sz w:val="22"/>
                      <w:szCs w:val="22"/>
                    </w:rPr>
                    <w:t xml:space="preserve"> November</w:t>
                  </w:r>
                  <w:r w:rsidRPr="00E72176">
                    <w:rPr>
                      <w:b/>
                      <w:sz w:val="22"/>
                      <w:szCs w:val="22"/>
                    </w:rPr>
                    <w:t xml:space="preserve"> 2012 </w:t>
                  </w:r>
                </w:p>
              </w:txbxContent>
            </v:textbox>
          </v:shape>
        </w:pict>
      </w:r>
    </w:p>
    <w:p w:rsidR="00E72176" w:rsidRDefault="00E72176" w:rsidP="00E72176">
      <w:pPr>
        <w:pStyle w:val="ListParagraph"/>
        <w:spacing w:line="360" w:lineRule="auto"/>
        <w:ind w:left="567"/>
        <w:jc w:val="both"/>
        <w:rPr>
          <w:b/>
          <w:sz w:val="22"/>
          <w:szCs w:val="22"/>
        </w:rPr>
      </w:pPr>
    </w:p>
    <w:p w:rsidR="00E72176" w:rsidRDefault="00E72176" w:rsidP="00E72176">
      <w:pPr>
        <w:pStyle w:val="ListParagraph"/>
        <w:spacing w:line="360" w:lineRule="auto"/>
        <w:ind w:left="567"/>
        <w:jc w:val="both"/>
        <w:rPr>
          <w:b/>
          <w:sz w:val="22"/>
          <w:szCs w:val="22"/>
        </w:rPr>
      </w:pPr>
    </w:p>
    <w:p w:rsidR="00E72176" w:rsidRDefault="00E72176" w:rsidP="00E72176">
      <w:pPr>
        <w:pStyle w:val="ListParagraph"/>
        <w:spacing w:line="360" w:lineRule="auto"/>
        <w:ind w:left="567"/>
        <w:jc w:val="both"/>
        <w:rPr>
          <w:b/>
          <w:sz w:val="22"/>
          <w:szCs w:val="22"/>
        </w:rPr>
      </w:pPr>
    </w:p>
    <w:p w:rsidR="00E72176" w:rsidRPr="0058263E" w:rsidRDefault="00E72176" w:rsidP="0058263E">
      <w:pPr>
        <w:spacing w:after="200" w:line="276" w:lineRule="auto"/>
        <w:rPr>
          <w:b/>
          <w:sz w:val="22"/>
          <w:szCs w:val="22"/>
        </w:rPr>
      </w:pPr>
      <w:r>
        <w:rPr>
          <w:b/>
          <w:sz w:val="22"/>
          <w:szCs w:val="22"/>
        </w:rPr>
        <w:br w:type="page"/>
      </w:r>
    </w:p>
    <w:p w:rsidR="00702AE4" w:rsidRDefault="00702AE4" w:rsidP="00A56ED5">
      <w:pPr>
        <w:pStyle w:val="ListParagraph"/>
        <w:numPr>
          <w:ilvl w:val="0"/>
          <w:numId w:val="2"/>
        </w:numPr>
        <w:ind w:left="567" w:hanging="567"/>
        <w:jc w:val="both"/>
        <w:rPr>
          <w:b/>
          <w:sz w:val="22"/>
          <w:szCs w:val="22"/>
        </w:rPr>
      </w:pPr>
      <w:r w:rsidRPr="00702AE4">
        <w:rPr>
          <w:b/>
          <w:sz w:val="22"/>
          <w:szCs w:val="22"/>
        </w:rPr>
        <w:lastRenderedPageBreak/>
        <w:t>OVERVIEW</w:t>
      </w:r>
    </w:p>
    <w:p w:rsidR="00D50DE0" w:rsidRPr="00D50DE0" w:rsidRDefault="00D50DE0" w:rsidP="00A56ED5">
      <w:pPr>
        <w:pStyle w:val="ListParagraph"/>
        <w:ind w:left="567"/>
        <w:jc w:val="both"/>
        <w:rPr>
          <w:b/>
          <w:sz w:val="16"/>
          <w:szCs w:val="16"/>
        </w:rPr>
      </w:pPr>
    </w:p>
    <w:p w:rsidR="004853C1" w:rsidRDefault="008B6369" w:rsidP="002807CA">
      <w:pPr>
        <w:pStyle w:val="ListParagraph"/>
        <w:numPr>
          <w:ilvl w:val="1"/>
          <w:numId w:val="2"/>
        </w:numPr>
        <w:spacing w:line="360" w:lineRule="auto"/>
        <w:ind w:left="567" w:hanging="567"/>
        <w:jc w:val="both"/>
        <w:rPr>
          <w:sz w:val="22"/>
          <w:szCs w:val="22"/>
        </w:rPr>
      </w:pPr>
      <w:r>
        <w:rPr>
          <w:sz w:val="22"/>
          <w:szCs w:val="22"/>
        </w:rPr>
        <w:t xml:space="preserve">These written submissions are filed and served on behalf of the Equality and Human Rights </w:t>
      </w:r>
      <w:r w:rsidR="002807CA">
        <w:rPr>
          <w:sz w:val="22"/>
          <w:szCs w:val="22"/>
        </w:rPr>
        <w:t xml:space="preserve">Commission (‘the Commission’).  </w:t>
      </w:r>
      <w:r w:rsidRPr="002807CA">
        <w:rPr>
          <w:sz w:val="22"/>
          <w:szCs w:val="22"/>
        </w:rPr>
        <w:t>By Application Notice sealed on 13</w:t>
      </w:r>
      <w:r w:rsidRPr="002807CA">
        <w:rPr>
          <w:sz w:val="22"/>
          <w:szCs w:val="22"/>
          <w:vertAlign w:val="superscript"/>
        </w:rPr>
        <w:t>th</w:t>
      </w:r>
      <w:r w:rsidRPr="002807CA">
        <w:rPr>
          <w:sz w:val="22"/>
          <w:szCs w:val="22"/>
        </w:rPr>
        <w:t xml:space="preserve"> September 2012 t</w:t>
      </w:r>
      <w:r w:rsidR="00232104" w:rsidRPr="002807CA">
        <w:rPr>
          <w:sz w:val="22"/>
          <w:szCs w:val="22"/>
        </w:rPr>
        <w:t xml:space="preserve">he </w:t>
      </w:r>
      <w:r w:rsidRPr="002807CA">
        <w:rPr>
          <w:sz w:val="22"/>
          <w:szCs w:val="22"/>
        </w:rPr>
        <w:t xml:space="preserve">Commission applied to intervene in this appeal before the Court of Appeal, </w:t>
      </w:r>
      <w:r w:rsidRPr="002807CA">
        <w:rPr>
          <w:i/>
          <w:sz w:val="22"/>
          <w:szCs w:val="22"/>
        </w:rPr>
        <w:t xml:space="preserve">R (T) v. The Chief Constable of the Greater Manchester Police and the Secretary of State for the Home Department </w:t>
      </w:r>
      <w:r w:rsidRPr="002807CA">
        <w:rPr>
          <w:sz w:val="22"/>
          <w:szCs w:val="22"/>
        </w:rPr>
        <w:t>(‘SSHD’), C1/2012/0520</w:t>
      </w:r>
      <w:r w:rsidR="00B845B4" w:rsidRPr="002807CA">
        <w:rPr>
          <w:sz w:val="22"/>
          <w:szCs w:val="22"/>
        </w:rPr>
        <w:t xml:space="preserve"> (hereafter ‘the </w:t>
      </w:r>
      <w:r w:rsidR="00B845B4" w:rsidRPr="002807CA">
        <w:rPr>
          <w:i/>
          <w:sz w:val="22"/>
          <w:szCs w:val="22"/>
        </w:rPr>
        <w:t>T</w:t>
      </w:r>
      <w:r w:rsidR="00B845B4" w:rsidRPr="002807CA">
        <w:rPr>
          <w:sz w:val="22"/>
          <w:szCs w:val="22"/>
        </w:rPr>
        <w:t xml:space="preserve"> case’)</w:t>
      </w:r>
      <w:r w:rsidRPr="002807CA">
        <w:rPr>
          <w:sz w:val="22"/>
          <w:szCs w:val="22"/>
        </w:rPr>
        <w:t>.  That application was granted by Lord Justice Davis in an Order dated 8</w:t>
      </w:r>
      <w:r w:rsidRPr="002807CA">
        <w:rPr>
          <w:sz w:val="22"/>
          <w:szCs w:val="22"/>
          <w:vertAlign w:val="superscript"/>
        </w:rPr>
        <w:t>th</w:t>
      </w:r>
      <w:r w:rsidRPr="002807CA">
        <w:rPr>
          <w:sz w:val="22"/>
          <w:szCs w:val="22"/>
        </w:rPr>
        <w:t xml:space="preserve"> October 2012 and sealed on 12</w:t>
      </w:r>
      <w:r w:rsidRPr="002807CA">
        <w:rPr>
          <w:sz w:val="22"/>
          <w:szCs w:val="22"/>
          <w:vertAlign w:val="superscript"/>
        </w:rPr>
        <w:t>th</w:t>
      </w:r>
      <w:r w:rsidRPr="002807CA">
        <w:rPr>
          <w:sz w:val="22"/>
          <w:szCs w:val="22"/>
        </w:rPr>
        <w:t xml:space="preserve"> October 2012</w:t>
      </w:r>
      <w:r w:rsidR="009B59CE" w:rsidRPr="002807CA">
        <w:rPr>
          <w:sz w:val="22"/>
          <w:szCs w:val="22"/>
        </w:rPr>
        <w:t>.</w:t>
      </w:r>
      <w:r w:rsidR="00E20638" w:rsidRPr="002807CA">
        <w:rPr>
          <w:sz w:val="22"/>
          <w:szCs w:val="22"/>
        </w:rPr>
        <w:t xml:space="preserve">  The Commission is the Second Intervener, Liberty having already been granted permission to intervene on 25</w:t>
      </w:r>
      <w:r w:rsidR="00E20638" w:rsidRPr="002807CA">
        <w:rPr>
          <w:sz w:val="22"/>
          <w:szCs w:val="22"/>
          <w:vertAlign w:val="superscript"/>
        </w:rPr>
        <w:t>th</w:t>
      </w:r>
      <w:r w:rsidR="00E20638" w:rsidRPr="002807CA">
        <w:rPr>
          <w:sz w:val="22"/>
          <w:szCs w:val="22"/>
        </w:rPr>
        <w:t xml:space="preserve"> May 2012 (Order of Lord Justice Stanley </w:t>
      </w:r>
      <w:proofErr w:type="spellStart"/>
      <w:r w:rsidR="00E20638" w:rsidRPr="002807CA">
        <w:rPr>
          <w:sz w:val="22"/>
          <w:szCs w:val="22"/>
        </w:rPr>
        <w:t>Burnton</w:t>
      </w:r>
      <w:proofErr w:type="spellEnd"/>
      <w:r w:rsidR="00E20638" w:rsidRPr="002807CA">
        <w:rPr>
          <w:sz w:val="22"/>
          <w:szCs w:val="22"/>
        </w:rPr>
        <w:t>).</w:t>
      </w:r>
    </w:p>
    <w:p w:rsidR="0058263E" w:rsidRDefault="0058263E">
      <w:pPr>
        <w:pStyle w:val="ListParagraph"/>
        <w:spacing w:line="360" w:lineRule="auto"/>
        <w:ind w:left="567"/>
        <w:jc w:val="both"/>
        <w:rPr>
          <w:sz w:val="22"/>
          <w:szCs w:val="22"/>
        </w:rPr>
      </w:pPr>
    </w:p>
    <w:p w:rsidR="008B6369" w:rsidRPr="002807CA" w:rsidRDefault="004853C1" w:rsidP="002807CA">
      <w:pPr>
        <w:pStyle w:val="ListParagraph"/>
        <w:numPr>
          <w:ilvl w:val="1"/>
          <w:numId w:val="2"/>
        </w:numPr>
        <w:spacing w:line="360" w:lineRule="auto"/>
        <w:ind w:left="567" w:hanging="567"/>
        <w:jc w:val="both"/>
        <w:rPr>
          <w:sz w:val="22"/>
          <w:szCs w:val="22"/>
        </w:rPr>
      </w:pPr>
      <w:r>
        <w:rPr>
          <w:sz w:val="22"/>
          <w:szCs w:val="22"/>
        </w:rPr>
        <w:t xml:space="preserve">The Commission </w:t>
      </w:r>
      <w:r w:rsidR="006D420C">
        <w:rPr>
          <w:sz w:val="22"/>
          <w:szCs w:val="22"/>
        </w:rPr>
        <w:t>is the statutory non-departmental body</w:t>
      </w:r>
      <w:r w:rsidR="000A47F4">
        <w:rPr>
          <w:sz w:val="22"/>
          <w:szCs w:val="22"/>
        </w:rPr>
        <w:t xml:space="preserve"> for England, Wales and (in respect of some of its functions) Scotland, charged with monitoring the implementation of, and compliance with, equality and human rights law.  It has a unique statutory role in promoting human rights norms and equality of opportunity, and it has a specific statutory power to intervene in legal proceedings relevant to its functions.  It has a strong interest, and established expertise, in informational privacy issues arising under Article 8 of the European Convention on Human Rights (‘ECHR’). </w:t>
      </w:r>
    </w:p>
    <w:p w:rsidR="00B845B4" w:rsidRDefault="00B845B4" w:rsidP="00B845B4">
      <w:pPr>
        <w:pStyle w:val="ListParagraph"/>
        <w:spacing w:line="360" w:lineRule="auto"/>
        <w:ind w:left="567"/>
        <w:jc w:val="both"/>
        <w:rPr>
          <w:sz w:val="22"/>
          <w:szCs w:val="22"/>
        </w:rPr>
      </w:pPr>
    </w:p>
    <w:p w:rsidR="00E20638" w:rsidRDefault="00B845B4" w:rsidP="0048020E">
      <w:pPr>
        <w:pStyle w:val="ListParagraph"/>
        <w:numPr>
          <w:ilvl w:val="1"/>
          <w:numId w:val="2"/>
        </w:numPr>
        <w:spacing w:line="360" w:lineRule="auto"/>
        <w:ind w:left="567" w:hanging="567"/>
        <w:jc w:val="both"/>
        <w:rPr>
          <w:sz w:val="22"/>
          <w:szCs w:val="22"/>
        </w:rPr>
      </w:pPr>
      <w:r>
        <w:rPr>
          <w:sz w:val="22"/>
          <w:szCs w:val="22"/>
        </w:rPr>
        <w:t xml:space="preserve">It is understood that there are now three joined cases listed to be heard together before the Court of Appeal: the </w:t>
      </w:r>
      <w:r w:rsidRPr="00B845B4">
        <w:rPr>
          <w:i/>
          <w:sz w:val="22"/>
          <w:szCs w:val="22"/>
        </w:rPr>
        <w:t>T</w:t>
      </w:r>
      <w:r>
        <w:rPr>
          <w:sz w:val="22"/>
          <w:szCs w:val="22"/>
        </w:rPr>
        <w:t xml:space="preserve"> case; a second appeal, </w:t>
      </w:r>
      <w:r w:rsidRPr="00B845B4">
        <w:rPr>
          <w:i/>
          <w:sz w:val="22"/>
          <w:szCs w:val="22"/>
        </w:rPr>
        <w:t>‘JB’</w:t>
      </w:r>
      <w:r>
        <w:rPr>
          <w:sz w:val="22"/>
          <w:szCs w:val="22"/>
        </w:rPr>
        <w:t xml:space="preserve">; and a third case, for </w:t>
      </w:r>
      <w:r w:rsidRPr="004F7F0B">
        <w:rPr>
          <w:i/>
          <w:sz w:val="22"/>
          <w:szCs w:val="22"/>
        </w:rPr>
        <w:t>‘AW’</w:t>
      </w:r>
      <w:r>
        <w:rPr>
          <w:sz w:val="22"/>
          <w:szCs w:val="22"/>
        </w:rPr>
        <w:t xml:space="preserve"> (oral application to be followed by the full judicial review if permission is granted by the Court of Appeal).  As is the case for the First Intervener, Liberty, the Commission is also intervening in the </w:t>
      </w:r>
      <w:r w:rsidRPr="004F7F0B">
        <w:rPr>
          <w:i/>
          <w:sz w:val="22"/>
          <w:szCs w:val="22"/>
        </w:rPr>
        <w:t>T</w:t>
      </w:r>
      <w:r>
        <w:rPr>
          <w:sz w:val="22"/>
          <w:szCs w:val="22"/>
        </w:rPr>
        <w:t xml:space="preserve"> case only.</w:t>
      </w:r>
      <w:r w:rsidR="004F7F0B">
        <w:rPr>
          <w:sz w:val="22"/>
          <w:szCs w:val="22"/>
        </w:rPr>
        <w:t xml:space="preserve">  However, there are clearly overlapping issues arising in the three cases</w:t>
      </w:r>
      <w:r w:rsidR="00E20638">
        <w:rPr>
          <w:sz w:val="22"/>
          <w:szCs w:val="22"/>
        </w:rPr>
        <w:t xml:space="preserve">, and indeed the SSHD and Secretary of State for Justice (‘SSJ’) have now filed a skeleton argument which addresses the </w:t>
      </w:r>
      <w:r w:rsidR="00E20638" w:rsidRPr="00E20638">
        <w:rPr>
          <w:i/>
          <w:sz w:val="22"/>
          <w:szCs w:val="22"/>
        </w:rPr>
        <w:t>T</w:t>
      </w:r>
      <w:r w:rsidR="00E20638">
        <w:rPr>
          <w:sz w:val="22"/>
          <w:szCs w:val="22"/>
        </w:rPr>
        <w:t xml:space="preserve"> and </w:t>
      </w:r>
      <w:r w:rsidR="00E20638" w:rsidRPr="00E20638">
        <w:rPr>
          <w:i/>
          <w:sz w:val="22"/>
          <w:szCs w:val="22"/>
        </w:rPr>
        <w:t>JB</w:t>
      </w:r>
      <w:r w:rsidR="00E20638">
        <w:rPr>
          <w:sz w:val="22"/>
          <w:szCs w:val="22"/>
        </w:rPr>
        <w:t xml:space="preserve"> appeals together.  The Commission has not had sight of the full papers in the </w:t>
      </w:r>
      <w:r w:rsidR="00E20638" w:rsidRPr="00E20638">
        <w:rPr>
          <w:i/>
          <w:sz w:val="22"/>
          <w:szCs w:val="22"/>
        </w:rPr>
        <w:t xml:space="preserve">JB </w:t>
      </w:r>
      <w:r w:rsidR="00E20638">
        <w:rPr>
          <w:sz w:val="22"/>
          <w:szCs w:val="22"/>
        </w:rPr>
        <w:t xml:space="preserve">or </w:t>
      </w:r>
      <w:r w:rsidR="00E20638" w:rsidRPr="00E20638">
        <w:rPr>
          <w:i/>
          <w:sz w:val="22"/>
          <w:szCs w:val="22"/>
        </w:rPr>
        <w:t>AW</w:t>
      </w:r>
      <w:r w:rsidR="00E20638">
        <w:rPr>
          <w:sz w:val="22"/>
          <w:szCs w:val="22"/>
        </w:rPr>
        <w:t xml:space="preserve"> cases,</w:t>
      </w:r>
      <w:r w:rsidR="000A47F4">
        <w:rPr>
          <w:sz w:val="22"/>
          <w:szCs w:val="22"/>
        </w:rPr>
        <w:t xml:space="preserve"> although it</w:t>
      </w:r>
      <w:r w:rsidR="00E20638">
        <w:rPr>
          <w:sz w:val="22"/>
          <w:szCs w:val="22"/>
        </w:rPr>
        <w:t xml:space="preserve"> has now secured a copy of the Witness Statement of Mr. John Woodcock from the </w:t>
      </w:r>
      <w:r w:rsidR="00E20638" w:rsidRPr="00E20638">
        <w:rPr>
          <w:i/>
          <w:sz w:val="22"/>
          <w:szCs w:val="22"/>
        </w:rPr>
        <w:t>JB</w:t>
      </w:r>
      <w:r w:rsidR="00E20638">
        <w:rPr>
          <w:sz w:val="22"/>
          <w:szCs w:val="22"/>
        </w:rPr>
        <w:t xml:space="preserve"> case, given the heavy reliance placed upon it in the SSHD and SSJ’s Skeleton Argument (see in particular </w:t>
      </w:r>
      <w:proofErr w:type="spellStart"/>
      <w:r w:rsidR="00E20638">
        <w:rPr>
          <w:sz w:val="22"/>
          <w:szCs w:val="22"/>
        </w:rPr>
        <w:t>para</w:t>
      </w:r>
      <w:proofErr w:type="spellEnd"/>
      <w:r w:rsidR="00E20638">
        <w:rPr>
          <w:sz w:val="22"/>
          <w:szCs w:val="22"/>
        </w:rPr>
        <w:t>. 31).  The Commission is continuing to seek acce</w:t>
      </w:r>
      <w:r w:rsidR="00B438D0">
        <w:rPr>
          <w:sz w:val="22"/>
          <w:szCs w:val="22"/>
        </w:rPr>
        <w:t>ss to certain further documents</w:t>
      </w:r>
      <w:r w:rsidR="000A47F4">
        <w:rPr>
          <w:sz w:val="22"/>
          <w:szCs w:val="22"/>
        </w:rPr>
        <w:t>, and</w:t>
      </w:r>
      <w:r w:rsidR="00B438D0">
        <w:rPr>
          <w:sz w:val="22"/>
          <w:szCs w:val="22"/>
        </w:rPr>
        <w:t xml:space="preserve">  </w:t>
      </w:r>
      <w:r w:rsidR="00E20638">
        <w:rPr>
          <w:sz w:val="22"/>
          <w:szCs w:val="22"/>
        </w:rPr>
        <w:t>may seek to make further brief written submissions in advance of the hearing</w:t>
      </w:r>
      <w:r w:rsidR="00B438D0">
        <w:rPr>
          <w:sz w:val="22"/>
          <w:szCs w:val="22"/>
        </w:rPr>
        <w:t>, if so advised, when any additional documents</w:t>
      </w:r>
      <w:r w:rsidR="001F0B8A">
        <w:rPr>
          <w:sz w:val="22"/>
          <w:szCs w:val="22"/>
        </w:rPr>
        <w:t xml:space="preserve"> have been considered.</w:t>
      </w:r>
      <w:r w:rsidR="00E20638">
        <w:rPr>
          <w:sz w:val="22"/>
          <w:szCs w:val="22"/>
        </w:rPr>
        <w:t xml:space="preserve"> </w:t>
      </w:r>
    </w:p>
    <w:p w:rsidR="00E20638" w:rsidRDefault="00E20638" w:rsidP="00E20638">
      <w:pPr>
        <w:pStyle w:val="ListParagraph"/>
        <w:spacing w:line="360" w:lineRule="auto"/>
        <w:ind w:left="567"/>
        <w:jc w:val="both"/>
        <w:rPr>
          <w:sz w:val="22"/>
          <w:szCs w:val="22"/>
        </w:rPr>
      </w:pPr>
    </w:p>
    <w:p w:rsidR="008B6369" w:rsidRDefault="008B6369" w:rsidP="0048020E">
      <w:pPr>
        <w:pStyle w:val="ListParagraph"/>
        <w:numPr>
          <w:ilvl w:val="1"/>
          <w:numId w:val="2"/>
        </w:numPr>
        <w:spacing w:line="360" w:lineRule="auto"/>
        <w:ind w:left="567" w:hanging="567"/>
        <w:jc w:val="both"/>
        <w:rPr>
          <w:sz w:val="22"/>
          <w:szCs w:val="22"/>
        </w:rPr>
      </w:pPr>
      <w:r>
        <w:rPr>
          <w:sz w:val="22"/>
          <w:szCs w:val="22"/>
        </w:rPr>
        <w:t>Lord Justice Davis granted the Commission permission to intervene by way of written submissions (</w:t>
      </w:r>
      <w:proofErr w:type="spellStart"/>
      <w:r>
        <w:rPr>
          <w:sz w:val="22"/>
          <w:szCs w:val="22"/>
        </w:rPr>
        <w:t>para</w:t>
      </w:r>
      <w:proofErr w:type="spellEnd"/>
      <w:r>
        <w:rPr>
          <w:sz w:val="22"/>
          <w:szCs w:val="22"/>
        </w:rPr>
        <w:t>. 1 of his Order).</w:t>
      </w:r>
      <w:r w:rsidR="00EC23B8">
        <w:rPr>
          <w:sz w:val="22"/>
          <w:szCs w:val="22"/>
        </w:rPr>
        <w:t xml:space="preserve">  The </w:t>
      </w:r>
      <w:r w:rsidR="00E20638">
        <w:rPr>
          <w:sz w:val="22"/>
          <w:szCs w:val="22"/>
        </w:rPr>
        <w:t xml:space="preserve">Commission does not seek permission to make oral submissions at the </w:t>
      </w:r>
      <w:r w:rsidR="00E20638">
        <w:rPr>
          <w:sz w:val="22"/>
          <w:szCs w:val="22"/>
        </w:rPr>
        <w:lastRenderedPageBreak/>
        <w:t xml:space="preserve">hearing, but is happy to attend </w:t>
      </w:r>
      <w:r w:rsidR="0072489E">
        <w:rPr>
          <w:sz w:val="22"/>
          <w:szCs w:val="22"/>
        </w:rPr>
        <w:t xml:space="preserve">through Counsel </w:t>
      </w:r>
      <w:r w:rsidR="00E20638">
        <w:rPr>
          <w:sz w:val="22"/>
          <w:szCs w:val="22"/>
        </w:rPr>
        <w:t>and address any questions raised by the Court of Appeal if that</w:t>
      </w:r>
      <w:r w:rsidR="0072489E">
        <w:rPr>
          <w:sz w:val="22"/>
          <w:szCs w:val="22"/>
        </w:rPr>
        <w:t xml:space="preserve"> would be of assistance.</w:t>
      </w:r>
    </w:p>
    <w:p w:rsidR="008B6369" w:rsidRDefault="008B6369" w:rsidP="008B6369">
      <w:pPr>
        <w:pStyle w:val="ListParagraph"/>
        <w:spacing w:line="360" w:lineRule="auto"/>
        <w:ind w:left="567"/>
        <w:jc w:val="both"/>
        <w:rPr>
          <w:sz w:val="22"/>
          <w:szCs w:val="22"/>
        </w:rPr>
      </w:pPr>
    </w:p>
    <w:p w:rsidR="00E35706" w:rsidRPr="001F0B8A" w:rsidRDefault="00E35706" w:rsidP="001F0B8A">
      <w:pPr>
        <w:pStyle w:val="ListParagraph"/>
        <w:numPr>
          <w:ilvl w:val="1"/>
          <w:numId w:val="2"/>
        </w:numPr>
        <w:spacing w:line="360" w:lineRule="auto"/>
        <w:ind w:left="567" w:hanging="567"/>
        <w:jc w:val="both"/>
        <w:rPr>
          <w:sz w:val="22"/>
          <w:szCs w:val="22"/>
        </w:rPr>
      </w:pPr>
      <w:r w:rsidRPr="001F0B8A">
        <w:rPr>
          <w:sz w:val="22"/>
          <w:szCs w:val="22"/>
        </w:rPr>
        <w:t xml:space="preserve">The facts of this case are undoubtedly stark.  In essence, it concerns whether a </w:t>
      </w:r>
      <w:r w:rsidR="004474A7" w:rsidRPr="001F0B8A">
        <w:rPr>
          <w:sz w:val="22"/>
          <w:szCs w:val="22"/>
        </w:rPr>
        <w:t>21</w:t>
      </w:r>
      <w:r w:rsidRPr="001F0B8A">
        <w:rPr>
          <w:sz w:val="22"/>
          <w:szCs w:val="22"/>
        </w:rPr>
        <w:t>-year-old student who wants to be a sports teacher has to continue to disclose to educators and prospective employers the fact that when he was 11 he was warned by the police in connection with the theft of two bicycles.</w:t>
      </w:r>
      <w:r w:rsidR="00AF396C">
        <w:rPr>
          <w:sz w:val="22"/>
          <w:szCs w:val="22"/>
        </w:rPr>
        <w:t xml:space="preserve">  He and his friends say that they found the two bicycles abandoned.  The Appellant’s description of the incident as being </w:t>
      </w:r>
      <w:r w:rsidR="008D41A1" w:rsidRPr="008D41A1">
        <w:rPr>
          <w:i/>
          <w:sz w:val="22"/>
          <w:szCs w:val="22"/>
        </w:rPr>
        <w:t>“at the lowest end of an already low spectrum”</w:t>
      </w:r>
      <w:r w:rsidR="00AF396C">
        <w:rPr>
          <w:sz w:val="22"/>
          <w:szCs w:val="22"/>
        </w:rPr>
        <w:t xml:space="preserve"> is undoubtedly right given the circumstances (Appellant’s Bundle, p. 12c, </w:t>
      </w:r>
      <w:proofErr w:type="spellStart"/>
      <w:r w:rsidR="00AF396C">
        <w:rPr>
          <w:sz w:val="22"/>
          <w:szCs w:val="22"/>
        </w:rPr>
        <w:t>para</w:t>
      </w:r>
      <w:proofErr w:type="spellEnd"/>
      <w:r w:rsidR="00AF396C">
        <w:rPr>
          <w:sz w:val="22"/>
          <w:szCs w:val="22"/>
        </w:rPr>
        <w:t>. 4).</w:t>
      </w:r>
      <w:r w:rsidRPr="001F0B8A">
        <w:rPr>
          <w:sz w:val="22"/>
          <w:szCs w:val="22"/>
        </w:rPr>
        <w:t xml:space="preserve">  As </w:t>
      </w:r>
      <w:r w:rsidR="004474A7" w:rsidRPr="001F0B8A">
        <w:rPr>
          <w:sz w:val="22"/>
          <w:szCs w:val="22"/>
        </w:rPr>
        <w:t xml:space="preserve">Mr. Justice </w:t>
      </w:r>
      <w:r w:rsidRPr="001F0B8A">
        <w:rPr>
          <w:sz w:val="22"/>
          <w:szCs w:val="22"/>
        </w:rPr>
        <w:t>K</w:t>
      </w:r>
      <w:r w:rsidR="004474A7" w:rsidRPr="001F0B8A">
        <w:rPr>
          <w:sz w:val="22"/>
          <w:szCs w:val="22"/>
        </w:rPr>
        <w:t>enneth Parker</w:t>
      </w:r>
      <w:r w:rsidRPr="001F0B8A">
        <w:rPr>
          <w:sz w:val="22"/>
          <w:szCs w:val="22"/>
        </w:rPr>
        <w:t xml:space="preserve"> noted at the outset of his judgment in the Administrative Court (</w:t>
      </w:r>
      <w:r w:rsidR="001F0B8A">
        <w:rPr>
          <w:sz w:val="22"/>
          <w:szCs w:val="22"/>
        </w:rPr>
        <w:t xml:space="preserve">Appellant’s Bundle, p. 17, </w:t>
      </w:r>
      <w:proofErr w:type="spellStart"/>
      <w:r w:rsidRPr="001F0B8A">
        <w:rPr>
          <w:sz w:val="22"/>
          <w:szCs w:val="22"/>
        </w:rPr>
        <w:t>para</w:t>
      </w:r>
      <w:proofErr w:type="spellEnd"/>
      <w:r w:rsidRPr="001F0B8A">
        <w:rPr>
          <w:sz w:val="22"/>
          <w:szCs w:val="22"/>
        </w:rPr>
        <w:t xml:space="preserve">. 2), since the warning issued a decade ago the Appellant </w:t>
      </w:r>
      <w:r w:rsidRPr="001F0B8A">
        <w:rPr>
          <w:i/>
          <w:sz w:val="22"/>
          <w:szCs w:val="22"/>
        </w:rPr>
        <w:t>“has not been subject to any further criminal proceedings of any kind and indeed his conduct appears to have been exemplary.”</w:t>
      </w:r>
      <w:r w:rsidRPr="001F0B8A">
        <w:rPr>
          <w:sz w:val="22"/>
          <w:szCs w:val="22"/>
        </w:rPr>
        <w:t xml:space="preserve"> </w:t>
      </w:r>
      <w:r w:rsidR="00AF396C">
        <w:rPr>
          <w:sz w:val="22"/>
          <w:szCs w:val="22"/>
        </w:rPr>
        <w:t xml:space="preserve"> The Appellant had understood </w:t>
      </w:r>
      <w:r w:rsidR="00C63BB6">
        <w:rPr>
          <w:sz w:val="22"/>
          <w:szCs w:val="22"/>
        </w:rPr>
        <w:t xml:space="preserve">that his warnings were spent, and he only learned to the contrary </w:t>
      </w:r>
      <w:r w:rsidR="007E6C89">
        <w:rPr>
          <w:sz w:val="22"/>
          <w:szCs w:val="22"/>
        </w:rPr>
        <w:t xml:space="preserve">in 2008 (aged 17) when he applied for a part-time job at his local football club.  An ECRC was obtained which disclosed the two warnings but following correspondence the police agreed to </w:t>
      </w:r>
      <w:r w:rsidR="008D41A1" w:rsidRPr="008D41A1">
        <w:rPr>
          <w:i/>
          <w:sz w:val="22"/>
          <w:szCs w:val="22"/>
        </w:rPr>
        <w:t>“step down”</w:t>
      </w:r>
      <w:r w:rsidR="007E6C89">
        <w:rPr>
          <w:sz w:val="22"/>
          <w:szCs w:val="22"/>
        </w:rPr>
        <w:t xml:space="preserve"> the warnings (Appellant’s Bundle, p. 12c, </w:t>
      </w:r>
      <w:proofErr w:type="spellStart"/>
      <w:r w:rsidR="007E6C89">
        <w:rPr>
          <w:sz w:val="22"/>
          <w:szCs w:val="22"/>
        </w:rPr>
        <w:t>para</w:t>
      </w:r>
      <w:proofErr w:type="spellEnd"/>
      <w:r w:rsidR="007E6C89">
        <w:rPr>
          <w:sz w:val="22"/>
          <w:szCs w:val="22"/>
        </w:rPr>
        <w:t>. 5).</w:t>
      </w:r>
      <w:r w:rsidR="00C63BB6">
        <w:rPr>
          <w:sz w:val="22"/>
          <w:szCs w:val="22"/>
        </w:rPr>
        <w:t xml:space="preserve"> </w:t>
      </w:r>
    </w:p>
    <w:p w:rsidR="00E35706" w:rsidRPr="00E35706" w:rsidRDefault="00E35706" w:rsidP="00E35706">
      <w:pPr>
        <w:pStyle w:val="ListParagraph"/>
        <w:rPr>
          <w:sz w:val="22"/>
          <w:szCs w:val="22"/>
        </w:rPr>
      </w:pPr>
    </w:p>
    <w:p w:rsidR="00E35706" w:rsidRDefault="005B6CE9" w:rsidP="005B6CE9">
      <w:pPr>
        <w:pStyle w:val="ListParagraph"/>
        <w:numPr>
          <w:ilvl w:val="1"/>
          <w:numId w:val="2"/>
        </w:numPr>
        <w:spacing w:line="360" w:lineRule="auto"/>
        <w:ind w:left="567" w:hanging="567"/>
        <w:jc w:val="both"/>
        <w:rPr>
          <w:sz w:val="22"/>
          <w:szCs w:val="22"/>
        </w:rPr>
      </w:pPr>
      <w:r>
        <w:rPr>
          <w:sz w:val="22"/>
          <w:szCs w:val="22"/>
        </w:rPr>
        <w:t xml:space="preserve">This appeal concerns </w:t>
      </w:r>
      <w:r w:rsidR="00E35706">
        <w:rPr>
          <w:sz w:val="22"/>
          <w:szCs w:val="22"/>
        </w:rPr>
        <w:t>two legal issues:</w:t>
      </w:r>
    </w:p>
    <w:p w:rsidR="00E35706" w:rsidRPr="00E35706" w:rsidRDefault="00E35706" w:rsidP="00E35706">
      <w:pPr>
        <w:pStyle w:val="ListParagraph"/>
        <w:rPr>
          <w:sz w:val="22"/>
          <w:szCs w:val="22"/>
        </w:rPr>
      </w:pPr>
    </w:p>
    <w:p w:rsidR="00E35706" w:rsidRDefault="00E35706" w:rsidP="00E35706">
      <w:pPr>
        <w:pStyle w:val="ListParagraph"/>
        <w:numPr>
          <w:ilvl w:val="0"/>
          <w:numId w:val="16"/>
        </w:numPr>
        <w:spacing w:line="360" w:lineRule="auto"/>
        <w:jc w:val="both"/>
        <w:rPr>
          <w:sz w:val="22"/>
          <w:szCs w:val="22"/>
        </w:rPr>
      </w:pPr>
      <w:r>
        <w:rPr>
          <w:sz w:val="22"/>
          <w:szCs w:val="22"/>
        </w:rPr>
        <w:t xml:space="preserve">Whether </w:t>
      </w:r>
      <w:r w:rsidR="005B6CE9">
        <w:rPr>
          <w:sz w:val="22"/>
          <w:szCs w:val="22"/>
        </w:rPr>
        <w:t xml:space="preserve">the provisions of </w:t>
      </w:r>
      <w:r w:rsidR="001F0B8A">
        <w:rPr>
          <w:sz w:val="22"/>
          <w:szCs w:val="22"/>
        </w:rPr>
        <w:t xml:space="preserve">s. 113B of </w:t>
      </w:r>
      <w:r w:rsidR="005B6CE9">
        <w:rPr>
          <w:sz w:val="22"/>
          <w:szCs w:val="22"/>
        </w:rPr>
        <w:t xml:space="preserve">the Police </w:t>
      </w:r>
      <w:r>
        <w:rPr>
          <w:sz w:val="22"/>
          <w:szCs w:val="22"/>
        </w:rPr>
        <w:t>A</w:t>
      </w:r>
      <w:r w:rsidR="005B6CE9">
        <w:rPr>
          <w:sz w:val="22"/>
          <w:szCs w:val="22"/>
        </w:rPr>
        <w:t xml:space="preserve">ct 1997 </w:t>
      </w:r>
      <w:r w:rsidR="00D9750D">
        <w:rPr>
          <w:sz w:val="22"/>
          <w:szCs w:val="22"/>
        </w:rPr>
        <w:t xml:space="preserve">(‘the 1997 Act’) </w:t>
      </w:r>
      <w:r w:rsidR="005B6CE9">
        <w:rPr>
          <w:sz w:val="22"/>
          <w:szCs w:val="22"/>
        </w:rPr>
        <w:t>governing Criminal Records Bureau (‘CRB’) checks and Enhanced Criminal Records Certificates (‘ECRC</w:t>
      </w:r>
      <w:r w:rsidR="006F3010">
        <w:rPr>
          <w:sz w:val="22"/>
          <w:szCs w:val="22"/>
        </w:rPr>
        <w:t>s</w:t>
      </w:r>
      <w:r w:rsidR="005B6CE9">
        <w:rPr>
          <w:sz w:val="22"/>
          <w:szCs w:val="22"/>
        </w:rPr>
        <w:t xml:space="preserve">’) </w:t>
      </w:r>
      <w:r>
        <w:rPr>
          <w:sz w:val="22"/>
          <w:szCs w:val="22"/>
        </w:rPr>
        <w:t>are compatible with Article 8 of the European Convention on Human Rights (‘ECHR’)</w:t>
      </w:r>
      <w:r w:rsidR="004474A7">
        <w:rPr>
          <w:sz w:val="22"/>
          <w:szCs w:val="22"/>
        </w:rPr>
        <w:t>; and</w:t>
      </w:r>
      <w:r w:rsidR="00734764">
        <w:rPr>
          <w:sz w:val="22"/>
          <w:szCs w:val="22"/>
        </w:rPr>
        <w:t xml:space="preserve"> </w:t>
      </w:r>
    </w:p>
    <w:p w:rsidR="004474A7" w:rsidRDefault="004474A7" w:rsidP="004474A7">
      <w:pPr>
        <w:pStyle w:val="ListParagraph"/>
        <w:spacing w:line="360" w:lineRule="auto"/>
        <w:ind w:left="1287"/>
        <w:jc w:val="both"/>
        <w:rPr>
          <w:sz w:val="22"/>
          <w:szCs w:val="22"/>
        </w:rPr>
      </w:pPr>
    </w:p>
    <w:p w:rsidR="004474A7" w:rsidRPr="004474A7" w:rsidRDefault="004474A7" w:rsidP="004474A7">
      <w:pPr>
        <w:pStyle w:val="ListParagraph"/>
        <w:numPr>
          <w:ilvl w:val="0"/>
          <w:numId w:val="16"/>
        </w:numPr>
        <w:spacing w:line="360" w:lineRule="auto"/>
        <w:jc w:val="both"/>
        <w:rPr>
          <w:sz w:val="22"/>
          <w:szCs w:val="22"/>
        </w:rPr>
      </w:pPr>
      <w:r w:rsidRPr="004474A7">
        <w:rPr>
          <w:sz w:val="22"/>
          <w:szCs w:val="22"/>
        </w:rPr>
        <w:t xml:space="preserve">Whether </w:t>
      </w:r>
      <w:r w:rsidR="005B6CE9" w:rsidRPr="004474A7">
        <w:rPr>
          <w:sz w:val="22"/>
          <w:szCs w:val="22"/>
        </w:rPr>
        <w:t xml:space="preserve">the provisions </w:t>
      </w:r>
      <w:r w:rsidR="00E35706" w:rsidRPr="004474A7">
        <w:rPr>
          <w:sz w:val="22"/>
          <w:szCs w:val="22"/>
        </w:rPr>
        <w:t>of the Rehabilitation of Offenders Act 1974 (Exceptions) Order 1975 (SI 1975/1023)</w:t>
      </w:r>
      <w:r w:rsidR="00D9750D">
        <w:rPr>
          <w:sz w:val="22"/>
          <w:szCs w:val="22"/>
        </w:rPr>
        <w:t xml:space="preserve"> (‘the 1975 Order’)</w:t>
      </w:r>
      <w:r w:rsidR="00E35706" w:rsidRPr="004474A7">
        <w:rPr>
          <w:sz w:val="22"/>
          <w:szCs w:val="22"/>
        </w:rPr>
        <w:t>, which remove</w:t>
      </w:r>
      <w:r w:rsidR="00D9750D">
        <w:rPr>
          <w:sz w:val="22"/>
          <w:szCs w:val="22"/>
        </w:rPr>
        <w:t>s</w:t>
      </w:r>
      <w:r w:rsidR="00E35706" w:rsidRPr="004474A7">
        <w:rPr>
          <w:sz w:val="22"/>
          <w:szCs w:val="22"/>
        </w:rPr>
        <w:t xml:space="preserve"> certain protections which would otherwise apply to spent convictions and cautions, are Article 8</w:t>
      </w:r>
      <w:r w:rsidRPr="004474A7">
        <w:rPr>
          <w:sz w:val="22"/>
          <w:szCs w:val="22"/>
        </w:rPr>
        <w:t xml:space="preserve"> compliant</w:t>
      </w:r>
      <w:r w:rsidR="00E35706" w:rsidRPr="004474A7">
        <w:rPr>
          <w:sz w:val="22"/>
          <w:szCs w:val="22"/>
        </w:rPr>
        <w:t>.</w:t>
      </w:r>
      <w:r w:rsidRPr="004474A7">
        <w:rPr>
          <w:sz w:val="22"/>
          <w:szCs w:val="22"/>
        </w:rPr>
        <w:t xml:space="preserve">  The impact of the Order is to exempt the Appellant from the benefit of the Rehabilitation of Offenders Act 1974 (‘ROA 1974’) because his chosen career is with children</w:t>
      </w:r>
      <w:r>
        <w:rPr>
          <w:sz w:val="22"/>
          <w:szCs w:val="22"/>
        </w:rPr>
        <w:t>.</w:t>
      </w:r>
      <w:r w:rsidR="00E35706" w:rsidRPr="004474A7">
        <w:rPr>
          <w:sz w:val="22"/>
          <w:szCs w:val="22"/>
        </w:rPr>
        <w:t xml:space="preserve">  </w:t>
      </w:r>
    </w:p>
    <w:p w:rsidR="004474A7" w:rsidRPr="004474A7" w:rsidRDefault="004474A7" w:rsidP="004474A7">
      <w:pPr>
        <w:pStyle w:val="ListParagraph"/>
        <w:spacing w:line="360" w:lineRule="auto"/>
        <w:ind w:left="567" w:hanging="567"/>
        <w:rPr>
          <w:sz w:val="22"/>
          <w:szCs w:val="22"/>
        </w:rPr>
      </w:pPr>
    </w:p>
    <w:p w:rsidR="004474A7" w:rsidRDefault="00E35706" w:rsidP="00EC53D5">
      <w:pPr>
        <w:pStyle w:val="ListParagraph"/>
        <w:numPr>
          <w:ilvl w:val="1"/>
          <w:numId w:val="2"/>
        </w:numPr>
        <w:spacing w:line="360" w:lineRule="auto"/>
        <w:ind w:left="567" w:hanging="567"/>
        <w:jc w:val="both"/>
        <w:rPr>
          <w:sz w:val="22"/>
          <w:szCs w:val="22"/>
        </w:rPr>
      </w:pPr>
      <w:r w:rsidRPr="004474A7">
        <w:rPr>
          <w:sz w:val="22"/>
          <w:szCs w:val="22"/>
        </w:rPr>
        <w:t>As regards issue (</w:t>
      </w:r>
      <w:proofErr w:type="spellStart"/>
      <w:r w:rsidRPr="004474A7">
        <w:rPr>
          <w:sz w:val="22"/>
          <w:szCs w:val="22"/>
        </w:rPr>
        <w:t>i</w:t>
      </w:r>
      <w:proofErr w:type="spellEnd"/>
      <w:r w:rsidRPr="004474A7">
        <w:rPr>
          <w:sz w:val="22"/>
          <w:szCs w:val="22"/>
        </w:rPr>
        <w:t>), the Appellant seeks a declaration of incompatibility of provisions of the 1997 Act</w:t>
      </w:r>
      <w:r w:rsidR="00B619CF">
        <w:rPr>
          <w:sz w:val="22"/>
          <w:szCs w:val="22"/>
        </w:rPr>
        <w:t xml:space="preserve"> (Appellant’s Bundle, p. 12p, </w:t>
      </w:r>
      <w:proofErr w:type="spellStart"/>
      <w:r w:rsidR="00B619CF">
        <w:rPr>
          <w:sz w:val="22"/>
          <w:szCs w:val="22"/>
        </w:rPr>
        <w:t>para</w:t>
      </w:r>
      <w:proofErr w:type="spellEnd"/>
      <w:r w:rsidR="00B619CF">
        <w:rPr>
          <w:sz w:val="22"/>
          <w:szCs w:val="22"/>
        </w:rPr>
        <w:t>. 37)</w:t>
      </w:r>
      <w:r w:rsidRPr="004474A7">
        <w:rPr>
          <w:sz w:val="22"/>
          <w:szCs w:val="22"/>
        </w:rPr>
        <w:t xml:space="preserve">.  </w:t>
      </w:r>
      <w:r w:rsidR="008D41A1" w:rsidRPr="008D41A1">
        <w:rPr>
          <w:sz w:val="22"/>
          <w:szCs w:val="22"/>
        </w:rPr>
        <w:t xml:space="preserve">At first instance Mr. Justice Kenneth Parker held that he would have found the relevant parts of the 1997 Act to be incompatible with Article 8 but considered himself </w:t>
      </w:r>
      <w:r w:rsidR="008D41A1" w:rsidRPr="008D41A1">
        <w:rPr>
          <w:i/>
          <w:sz w:val="22"/>
          <w:szCs w:val="22"/>
        </w:rPr>
        <w:t>“constrained by binding authority”</w:t>
      </w:r>
      <w:r w:rsidR="008D41A1" w:rsidRPr="008D41A1">
        <w:rPr>
          <w:sz w:val="22"/>
          <w:szCs w:val="22"/>
        </w:rPr>
        <w:t xml:space="preserve"> to find otherwise, namely the decision of the Supreme Court in </w:t>
      </w:r>
      <w:r w:rsidR="008D41A1" w:rsidRPr="008D41A1">
        <w:rPr>
          <w:i/>
          <w:sz w:val="22"/>
          <w:szCs w:val="22"/>
        </w:rPr>
        <w:t>R (L) v Commissioner of Police for the Metropolis</w:t>
      </w:r>
      <w:r w:rsidR="008D41A1" w:rsidRPr="008D41A1">
        <w:rPr>
          <w:sz w:val="22"/>
          <w:szCs w:val="22"/>
        </w:rPr>
        <w:t xml:space="preserve"> [2009] UKSC 3, [2010] 1 </w:t>
      </w:r>
      <w:r w:rsidR="008D41A1" w:rsidRPr="008D41A1">
        <w:rPr>
          <w:sz w:val="22"/>
          <w:szCs w:val="22"/>
        </w:rPr>
        <w:lastRenderedPageBreak/>
        <w:t xml:space="preserve">AC 410 (‘the </w:t>
      </w:r>
      <w:r w:rsidR="008D41A1" w:rsidRPr="008D41A1">
        <w:rPr>
          <w:i/>
          <w:sz w:val="22"/>
          <w:szCs w:val="22"/>
        </w:rPr>
        <w:t>L</w:t>
      </w:r>
      <w:r w:rsidR="008D41A1" w:rsidRPr="008D41A1">
        <w:rPr>
          <w:sz w:val="22"/>
          <w:szCs w:val="22"/>
        </w:rPr>
        <w:t xml:space="preserve"> case’) (</w:t>
      </w:r>
      <w:proofErr w:type="spellStart"/>
      <w:r w:rsidR="008D41A1" w:rsidRPr="008D41A1">
        <w:rPr>
          <w:sz w:val="22"/>
          <w:szCs w:val="22"/>
        </w:rPr>
        <w:t>para</w:t>
      </w:r>
      <w:proofErr w:type="spellEnd"/>
      <w:r w:rsidR="008D41A1" w:rsidRPr="008D41A1">
        <w:rPr>
          <w:sz w:val="22"/>
          <w:szCs w:val="22"/>
        </w:rPr>
        <w:t>. 47 of his judgment: Appellant’s Bundle, p. 40).</w:t>
      </w:r>
      <w:r w:rsidR="00EC53D5">
        <w:rPr>
          <w:sz w:val="22"/>
          <w:szCs w:val="22"/>
        </w:rPr>
        <w:t xml:space="preserve">  The Appellant puts his case concerning the 1997 Act on two alternative bases: either that the Learned Judge was wrong to consider himself bound by the </w:t>
      </w:r>
      <w:r w:rsidR="008D41A1" w:rsidRPr="008D41A1">
        <w:rPr>
          <w:i/>
          <w:sz w:val="22"/>
          <w:szCs w:val="22"/>
        </w:rPr>
        <w:t>L</w:t>
      </w:r>
      <w:r w:rsidR="00EC53D5">
        <w:rPr>
          <w:sz w:val="22"/>
          <w:szCs w:val="22"/>
        </w:rPr>
        <w:t xml:space="preserve"> case; or alternatively that there were obiter statements in </w:t>
      </w:r>
      <w:r w:rsidR="008D41A1" w:rsidRPr="008D41A1">
        <w:rPr>
          <w:i/>
          <w:sz w:val="22"/>
          <w:szCs w:val="22"/>
        </w:rPr>
        <w:t>L</w:t>
      </w:r>
      <w:r w:rsidR="00EC53D5">
        <w:rPr>
          <w:sz w:val="22"/>
          <w:szCs w:val="22"/>
        </w:rPr>
        <w:t xml:space="preserve"> which he should follow.</w:t>
      </w:r>
      <w:r w:rsidR="00D9750D">
        <w:rPr>
          <w:sz w:val="22"/>
          <w:szCs w:val="22"/>
        </w:rPr>
        <w:t xml:space="preserve">  </w:t>
      </w:r>
      <w:r w:rsidR="00EC53D5">
        <w:rPr>
          <w:sz w:val="22"/>
          <w:szCs w:val="22"/>
        </w:rPr>
        <w:t xml:space="preserve"> </w:t>
      </w:r>
    </w:p>
    <w:p w:rsidR="0058263E" w:rsidRDefault="0058263E">
      <w:pPr>
        <w:pStyle w:val="ListParagraph"/>
        <w:spacing w:line="360" w:lineRule="auto"/>
        <w:ind w:left="567"/>
        <w:jc w:val="both"/>
        <w:rPr>
          <w:sz w:val="22"/>
          <w:szCs w:val="22"/>
        </w:rPr>
      </w:pPr>
    </w:p>
    <w:p w:rsidR="00EC53D5" w:rsidRPr="00EC53D5" w:rsidRDefault="00EC53D5" w:rsidP="00EC53D5">
      <w:pPr>
        <w:pStyle w:val="ListParagraph"/>
        <w:numPr>
          <w:ilvl w:val="1"/>
          <w:numId w:val="2"/>
        </w:numPr>
        <w:spacing w:line="360" w:lineRule="auto"/>
        <w:ind w:left="567" w:hanging="567"/>
        <w:jc w:val="both"/>
        <w:rPr>
          <w:sz w:val="22"/>
          <w:szCs w:val="22"/>
        </w:rPr>
      </w:pPr>
      <w:r w:rsidRPr="004474A7">
        <w:rPr>
          <w:sz w:val="22"/>
          <w:szCs w:val="22"/>
        </w:rPr>
        <w:t xml:space="preserve">As regards issue (ii), </w:t>
      </w:r>
      <w:r w:rsidR="002C4984">
        <w:rPr>
          <w:sz w:val="22"/>
          <w:szCs w:val="22"/>
        </w:rPr>
        <w:t xml:space="preserve">the 1975 Order, </w:t>
      </w:r>
      <w:r>
        <w:rPr>
          <w:sz w:val="22"/>
          <w:szCs w:val="22"/>
        </w:rPr>
        <w:t>t</w:t>
      </w:r>
      <w:r w:rsidRPr="004474A7">
        <w:rPr>
          <w:sz w:val="22"/>
          <w:szCs w:val="22"/>
        </w:rPr>
        <w:t>he</w:t>
      </w:r>
      <w:r>
        <w:rPr>
          <w:sz w:val="22"/>
          <w:szCs w:val="22"/>
        </w:rPr>
        <w:t xml:space="preserve"> Appellant</w:t>
      </w:r>
      <w:r w:rsidR="00B619CF">
        <w:rPr>
          <w:sz w:val="22"/>
          <w:szCs w:val="22"/>
        </w:rPr>
        <w:t xml:space="preserve"> submits that the Learned Judge was wrong to conclude that </w:t>
      </w:r>
      <w:r w:rsidR="002C4984">
        <w:rPr>
          <w:sz w:val="22"/>
          <w:szCs w:val="22"/>
        </w:rPr>
        <w:t xml:space="preserve">where a State could not disclose information, a private employer could nevertheless ask and expect an answer.  The Appellant </w:t>
      </w:r>
      <w:r w:rsidRPr="004474A7">
        <w:rPr>
          <w:sz w:val="22"/>
          <w:szCs w:val="22"/>
        </w:rPr>
        <w:t xml:space="preserve">seeks a declaration that the Order is </w:t>
      </w:r>
      <w:r w:rsidRPr="001F0B8A">
        <w:rPr>
          <w:i/>
          <w:sz w:val="22"/>
          <w:szCs w:val="22"/>
        </w:rPr>
        <w:t xml:space="preserve">ultra </w:t>
      </w:r>
      <w:proofErr w:type="spellStart"/>
      <w:r w:rsidRPr="001F0B8A">
        <w:rPr>
          <w:i/>
          <w:sz w:val="22"/>
          <w:szCs w:val="22"/>
        </w:rPr>
        <w:t>vires</w:t>
      </w:r>
      <w:proofErr w:type="spellEnd"/>
      <w:r w:rsidR="002C4984">
        <w:rPr>
          <w:sz w:val="22"/>
          <w:szCs w:val="22"/>
        </w:rPr>
        <w:t xml:space="preserve"> (Appellant’s Bundle, p. 12p, </w:t>
      </w:r>
      <w:proofErr w:type="spellStart"/>
      <w:r w:rsidR="002C4984">
        <w:rPr>
          <w:sz w:val="22"/>
          <w:szCs w:val="22"/>
        </w:rPr>
        <w:t>para</w:t>
      </w:r>
      <w:proofErr w:type="spellEnd"/>
      <w:r w:rsidR="002C4984">
        <w:rPr>
          <w:sz w:val="22"/>
          <w:szCs w:val="22"/>
        </w:rPr>
        <w:t>. 37)</w:t>
      </w:r>
      <w:r w:rsidR="002C4984" w:rsidRPr="004474A7">
        <w:rPr>
          <w:sz w:val="22"/>
          <w:szCs w:val="22"/>
        </w:rPr>
        <w:t xml:space="preserve">.  </w:t>
      </w:r>
      <w:r w:rsidRPr="004474A7">
        <w:rPr>
          <w:sz w:val="22"/>
          <w:szCs w:val="22"/>
        </w:rPr>
        <w:t xml:space="preserve">  </w:t>
      </w:r>
    </w:p>
    <w:p w:rsidR="004474A7" w:rsidRPr="004474A7" w:rsidRDefault="004474A7" w:rsidP="004474A7">
      <w:pPr>
        <w:pStyle w:val="ListParagraph"/>
        <w:spacing w:line="360" w:lineRule="auto"/>
        <w:ind w:left="567"/>
        <w:jc w:val="both"/>
        <w:rPr>
          <w:sz w:val="22"/>
          <w:szCs w:val="22"/>
        </w:rPr>
      </w:pPr>
      <w:r w:rsidRPr="004474A7">
        <w:rPr>
          <w:sz w:val="22"/>
          <w:szCs w:val="22"/>
        </w:rPr>
        <w:t xml:space="preserve"> </w:t>
      </w:r>
    </w:p>
    <w:p w:rsidR="000A47F4" w:rsidRPr="00DE560B" w:rsidRDefault="000A47F4" w:rsidP="000A47F4">
      <w:pPr>
        <w:pStyle w:val="ListParagraph"/>
        <w:numPr>
          <w:ilvl w:val="1"/>
          <w:numId w:val="2"/>
        </w:numPr>
        <w:spacing w:line="360" w:lineRule="auto"/>
        <w:ind w:left="567" w:hanging="567"/>
        <w:jc w:val="both"/>
        <w:rPr>
          <w:iCs/>
          <w:sz w:val="22"/>
          <w:szCs w:val="22"/>
          <w:lang w:eastAsia="en-GB"/>
        </w:rPr>
      </w:pPr>
      <w:r>
        <w:rPr>
          <w:sz w:val="22"/>
          <w:szCs w:val="22"/>
        </w:rPr>
        <w:t>The Commission is mindful of the need for interveners to add value, and not to make submissions which merely duplicate those already made by other parties.  The Commission is in broad agreement with the submissions made to date by both the Appellant and Liberty concerning both aspects of the appeal, and their approach to both Article 8(1) and justification under Article 8(2).  The Commission also supports the criticisms of the SSHD/ SSJ Skeleton summarised in the Appellant’s Supplementary Skeleton Argument received on 8</w:t>
      </w:r>
      <w:r w:rsidRPr="00DE560B">
        <w:rPr>
          <w:sz w:val="22"/>
          <w:szCs w:val="22"/>
          <w:vertAlign w:val="superscript"/>
        </w:rPr>
        <w:t>th</w:t>
      </w:r>
      <w:r>
        <w:rPr>
          <w:sz w:val="22"/>
          <w:szCs w:val="22"/>
        </w:rPr>
        <w:t xml:space="preserve"> November 2012.  These written submissions do not repeat matters already addressed in detail by the Appellant.  However, given the statutory role of the Commission (see Part 2 of these submissions, below) the Commission’s support of the Appellant’s position is indicative of the broader human rights and equality implications which arise as a result of this appeal concerning the Appellant’s own particular circumstances.    </w:t>
      </w:r>
    </w:p>
    <w:p w:rsidR="0058263E" w:rsidRDefault="0058263E">
      <w:pPr>
        <w:pStyle w:val="ListParagraph"/>
        <w:spacing w:line="360" w:lineRule="auto"/>
        <w:ind w:left="567"/>
        <w:jc w:val="both"/>
        <w:rPr>
          <w:sz w:val="22"/>
          <w:szCs w:val="22"/>
        </w:rPr>
      </w:pPr>
    </w:p>
    <w:p w:rsidR="00033251" w:rsidRPr="00033251" w:rsidRDefault="00033251" w:rsidP="00033251">
      <w:pPr>
        <w:pStyle w:val="ListParagraph"/>
        <w:numPr>
          <w:ilvl w:val="1"/>
          <w:numId w:val="2"/>
        </w:numPr>
        <w:spacing w:line="360" w:lineRule="auto"/>
        <w:ind w:left="567" w:hanging="567"/>
        <w:jc w:val="both"/>
        <w:rPr>
          <w:sz w:val="22"/>
          <w:szCs w:val="22"/>
        </w:rPr>
      </w:pPr>
      <w:r>
        <w:rPr>
          <w:sz w:val="22"/>
          <w:szCs w:val="22"/>
        </w:rPr>
        <w:t xml:space="preserve">The Commission is of the view that this appeal </w:t>
      </w:r>
      <w:r w:rsidRPr="00033251">
        <w:rPr>
          <w:sz w:val="22"/>
          <w:szCs w:val="22"/>
        </w:rPr>
        <w:t xml:space="preserve">raises significant wider concerns, reaching beyond </w:t>
      </w:r>
      <w:r w:rsidR="0058263E">
        <w:rPr>
          <w:sz w:val="22"/>
          <w:szCs w:val="22"/>
        </w:rPr>
        <w:t>T’s</w:t>
      </w:r>
      <w:r>
        <w:rPr>
          <w:sz w:val="22"/>
          <w:szCs w:val="22"/>
        </w:rPr>
        <w:t xml:space="preserve"> particular circumstances.  </w:t>
      </w:r>
      <w:r w:rsidRPr="00033251">
        <w:rPr>
          <w:sz w:val="22"/>
          <w:szCs w:val="22"/>
        </w:rPr>
        <w:t xml:space="preserve">Kenneth Parker J acknowledged the importance of these proceedings in his judgment, describing the issues arising as being </w:t>
      </w:r>
      <w:r w:rsidRPr="00033251">
        <w:rPr>
          <w:i/>
          <w:sz w:val="22"/>
          <w:szCs w:val="22"/>
        </w:rPr>
        <w:t>“of general importance that fully [deserve] to be considered by a higher court”</w:t>
      </w:r>
      <w:r w:rsidRPr="00033251">
        <w:rPr>
          <w:sz w:val="22"/>
          <w:szCs w:val="22"/>
        </w:rPr>
        <w:t xml:space="preserve"> (</w:t>
      </w:r>
      <w:proofErr w:type="spellStart"/>
      <w:r w:rsidRPr="00033251">
        <w:rPr>
          <w:sz w:val="22"/>
          <w:szCs w:val="22"/>
        </w:rPr>
        <w:t>para</w:t>
      </w:r>
      <w:proofErr w:type="spellEnd"/>
      <w:r w:rsidRPr="00033251">
        <w:rPr>
          <w:sz w:val="22"/>
          <w:szCs w:val="22"/>
        </w:rPr>
        <w:t>. 47: Appellant’s Bundle, p. 40), phrasing echoed in his Order granting permission to appeal (p. 15 of the Bundle).</w:t>
      </w:r>
      <w:r>
        <w:rPr>
          <w:sz w:val="22"/>
          <w:szCs w:val="22"/>
        </w:rPr>
        <w:t xml:space="preserve">  In particular, the Commission notes:</w:t>
      </w:r>
      <w:r w:rsidRPr="00033251">
        <w:rPr>
          <w:sz w:val="22"/>
          <w:szCs w:val="22"/>
        </w:rPr>
        <w:t xml:space="preserve">  </w:t>
      </w:r>
    </w:p>
    <w:p w:rsidR="00EE5B9E" w:rsidRPr="00EE5B9E" w:rsidRDefault="00EE5B9E" w:rsidP="00EE5B9E">
      <w:pPr>
        <w:pStyle w:val="ListParagraph"/>
        <w:rPr>
          <w:sz w:val="22"/>
          <w:szCs w:val="22"/>
        </w:rPr>
      </w:pPr>
    </w:p>
    <w:p w:rsidR="00DD2A87" w:rsidRDefault="00DD2A87" w:rsidP="00EE5B9E">
      <w:pPr>
        <w:pStyle w:val="ListParagraph"/>
        <w:numPr>
          <w:ilvl w:val="2"/>
          <w:numId w:val="2"/>
        </w:numPr>
        <w:spacing w:line="360" w:lineRule="auto"/>
        <w:jc w:val="both"/>
        <w:rPr>
          <w:sz w:val="22"/>
          <w:szCs w:val="22"/>
        </w:rPr>
      </w:pPr>
      <w:r>
        <w:rPr>
          <w:sz w:val="22"/>
          <w:szCs w:val="22"/>
        </w:rPr>
        <w:t>This appeal</w:t>
      </w:r>
      <w:r w:rsidR="004474A7">
        <w:rPr>
          <w:sz w:val="22"/>
          <w:szCs w:val="22"/>
        </w:rPr>
        <w:t xml:space="preserve"> raises important issues concerning blanket policies of mandatory State disclosure of adverse historical information, warnings</w:t>
      </w:r>
      <w:r w:rsidR="001F0B8A">
        <w:rPr>
          <w:sz w:val="22"/>
          <w:szCs w:val="22"/>
        </w:rPr>
        <w:t>, cautions</w:t>
      </w:r>
      <w:r w:rsidR="004474A7">
        <w:rPr>
          <w:sz w:val="22"/>
          <w:szCs w:val="22"/>
        </w:rPr>
        <w:t xml:space="preserve"> and convictions concerning individuals, without individually tailored, proportionate decision-making</w:t>
      </w:r>
      <w:r w:rsidR="00EE5B9E">
        <w:rPr>
          <w:sz w:val="22"/>
          <w:szCs w:val="22"/>
        </w:rPr>
        <w:t>, taking account of their individual circumstances</w:t>
      </w:r>
      <w:r w:rsidR="0092284E">
        <w:rPr>
          <w:sz w:val="22"/>
          <w:szCs w:val="22"/>
        </w:rPr>
        <w:t>.</w:t>
      </w:r>
      <w:r w:rsidR="001F0B8A">
        <w:rPr>
          <w:sz w:val="22"/>
          <w:szCs w:val="22"/>
        </w:rPr>
        <w:t xml:space="preserve">  </w:t>
      </w:r>
    </w:p>
    <w:p w:rsidR="0058263E" w:rsidRDefault="0058263E">
      <w:pPr>
        <w:pStyle w:val="ListParagraph"/>
        <w:spacing w:line="360" w:lineRule="auto"/>
        <w:ind w:left="1494"/>
        <w:jc w:val="both"/>
        <w:rPr>
          <w:sz w:val="22"/>
          <w:szCs w:val="22"/>
        </w:rPr>
      </w:pPr>
    </w:p>
    <w:p w:rsidR="00DD2A87" w:rsidRDefault="001F0B8A" w:rsidP="00EE5B9E">
      <w:pPr>
        <w:pStyle w:val="ListParagraph"/>
        <w:numPr>
          <w:ilvl w:val="2"/>
          <w:numId w:val="2"/>
        </w:numPr>
        <w:spacing w:line="360" w:lineRule="auto"/>
        <w:jc w:val="both"/>
        <w:rPr>
          <w:sz w:val="22"/>
          <w:szCs w:val="22"/>
        </w:rPr>
      </w:pPr>
      <w:r>
        <w:rPr>
          <w:sz w:val="22"/>
          <w:szCs w:val="22"/>
        </w:rPr>
        <w:lastRenderedPageBreak/>
        <w:t xml:space="preserve">Although the </w:t>
      </w:r>
      <w:r w:rsidRPr="001F0B8A">
        <w:rPr>
          <w:i/>
          <w:sz w:val="22"/>
          <w:szCs w:val="22"/>
        </w:rPr>
        <w:t>T</w:t>
      </w:r>
      <w:r>
        <w:rPr>
          <w:sz w:val="22"/>
          <w:szCs w:val="22"/>
        </w:rPr>
        <w:t xml:space="preserve"> case concerns a non-conviction disposal (a warning), as does the </w:t>
      </w:r>
      <w:r w:rsidRPr="001F0B8A">
        <w:rPr>
          <w:i/>
          <w:sz w:val="22"/>
          <w:szCs w:val="22"/>
        </w:rPr>
        <w:t>JB</w:t>
      </w:r>
      <w:r>
        <w:rPr>
          <w:sz w:val="22"/>
          <w:szCs w:val="22"/>
        </w:rPr>
        <w:t xml:space="preserve"> case (a caution), the same legislative provisions govern disclosure of convictions.  The SSHD and SSJ i</w:t>
      </w:r>
      <w:r w:rsidR="00DC4C91">
        <w:rPr>
          <w:sz w:val="22"/>
          <w:szCs w:val="22"/>
        </w:rPr>
        <w:t>n their Skeleton Argument acknowledge</w:t>
      </w:r>
      <w:r>
        <w:rPr>
          <w:sz w:val="22"/>
          <w:szCs w:val="22"/>
        </w:rPr>
        <w:t xml:space="preserve"> that </w:t>
      </w:r>
      <w:r w:rsidRPr="00092C3D">
        <w:rPr>
          <w:i/>
          <w:sz w:val="22"/>
          <w:szCs w:val="22"/>
        </w:rPr>
        <w:t>“the same legal arguments are relevant to the compatibility of that requirement,”</w:t>
      </w:r>
      <w:r>
        <w:rPr>
          <w:sz w:val="22"/>
          <w:szCs w:val="22"/>
        </w:rPr>
        <w:t xml:space="preserve"> and they make clear from the outset that their submissions </w:t>
      </w:r>
      <w:r w:rsidRPr="00092C3D">
        <w:rPr>
          <w:i/>
          <w:sz w:val="22"/>
          <w:szCs w:val="22"/>
        </w:rPr>
        <w:t>“are framed to as to apply to disclosure of both convictions and cautions”</w:t>
      </w:r>
      <w:r>
        <w:rPr>
          <w:sz w:val="22"/>
          <w:szCs w:val="22"/>
        </w:rPr>
        <w:t xml:space="preserve"> (including warnings and reprimands) (</w:t>
      </w:r>
      <w:proofErr w:type="spellStart"/>
      <w:r>
        <w:rPr>
          <w:sz w:val="22"/>
          <w:szCs w:val="22"/>
        </w:rPr>
        <w:t>para</w:t>
      </w:r>
      <w:proofErr w:type="spellEnd"/>
      <w:r>
        <w:rPr>
          <w:sz w:val="22"/>
          <w:szCs w:val="22"/>
        </w:rPr>
        <w:t>. 6 of the Skeleton Argument dated 10</w:t>
      </w:r>
      <w:r w:rsidRPr="001F0B8A">
        <w:rPr>
          <w:sz w:val="22"/>
          <w:szCs w:val="22"/>
          <w:vertAlign w:val="superscript"/>
        </w:rPr>
        <w:t>th</w:t>
      </w:r>
      <w:r>
        <w:rPr>
          <w:sz w:val="22"/>
          <w:szCs w:val="22"/>
        </w:rPr>
        <w:t xml:space="preserve"> October 2012).</w:t>
      </w:r>
      <w:r w:rsidR="00DD2A87">
        <w:rPr>
          <w:sz w:val="22"/>
          <w:szCs w:val="22"/>
        </w:rPr>
        <w:t xml:space="preserve">  </w:t>
      </w:r>
    </w:p>
    <w:p w:rsidR="0058263E" w:rsidRDefault="0058263E">
      <w:pPr>
        <w:pStyle w:val="ListParagraph"/>
        <w:spacing w:line="360" w:lineRule="auto"/>
        <w:ind w:left="1494"/>
        <w:jc w:val="both"/>
        <w:rPr>
          <w:sz w:val="22"/>
          <w:szCs w:val="22"/>
        </w:rPr>
      </w:pPr>
    </w:p>
    <w:p w:rsidR="00EE5B9E" w:rsidRDefault="00DD2A87" w:rsidP="00EE5B9E">
      <w:pPr>
        <w:pStyle w:val="ListParagraph"/>
        <w:numPr>
          <w:ilvl w:val="2"/>
          <w:numId w:val="2"/>
        </w:numPr>
        <w:spacing w:line="360" w:lineRule="auto"/>
        <w:jc w:val="both"/>
        <w:rPr>
          <w:sz w:val="22"/>
          <w:szCs w:val="22"/>
        </w:rPr>
      </w:pPr>
      <w:r>
        <w:rPr>
          <w:sz w:val="22"/>
          <w:szCs w:val="22"/>
        </w:rPr>
        <w:t xml:space="preserve">Similarly, although the facts of the </w:t>
      </w:r>
      <w:r w:rsidR="008D41A1" w:rsidRPr="008D41A1">
        <w:rPr>
          <w:i/>
          <w:sz w:val="22"/>
          <w:szCs w:val="22"/>
        </w:rPr>
        <w:t>T</w:t>
      </w:r>
      <w:r>
        <w:rPr>
          <w:sz w:val="22"/>
          <w:szCs w:val="22"/>
        </w:rPr>
        <w:t xml:space="preserve"> and </w:t>
      </w:r>
      <w:r w:rsidR="008D41A1" w:rsidRPr="008D41A1">
        <w:rPr>
          <w:i/>
          <w:sz w:val="22"/>
          <w:szCs w:val="22"/>
        </w:rPr>
        <w:t>JB</w:t>
      </w:r>
      <w:r>
        <w:rPr>
          <w:sz w:val="22"/>
          <w:szCs w:val="22"/>
        </w:rPr>
        <w:t xml:space="preserve"> cases concern ECRCs</w:t>
      </w:r>
      <w:r w:rsidR="0092284E">
        <w:rPr>
          <w:sz w:val="22"/>
          <w:szCs w:val="22"/>
        </w:rPr>
        <w:t xml:space="preserve"> </w:t>
      </w:r>
      <w:r>
        <w:rPr>
          <w:sz w:val="22"/>
          <w:szCs w:val="22"/>
        </w:rPr>
        <w:t xml:space="preserve">under s. 113B of the 1997 Act, the Commission agrees with the SSHD and SSJ that the challenges apply equally to Criminal Record Certificates issued under s. 113A (Skeleton, </w:t>
      </w:r>
      <w:proofErr w:type="spellStart"/>
      <w:r>
        <w:rPr>
          <w:sz w:val="22"/>
          <w:szCs w:val="22"/>
        </w:rPr>
        <w:t>para</w:t>
      </w:r>
      <w:proofErr w:type="spellEnd"/>
      <w:r>
        <w:rPr>
          <w:sz w:val="22"/>
          <w:szCs w:val="22"/>
        </w:rPr>
        <w:t>. 15).  The substantive difference between ss. 113A and 113B is that CRCs contain only prescribed details of convictions and non-conviction disposals (cautions/ warnings/ reprimands), whereas ECRCs may also contain police intelligence information</w:t>
      </w:r>
      <w:r w:rsidR="008F1D06">
        <w:rPr>
          <w:sz w:val="22"/>
          <w:szCs w:val="22"/>
        </w:rPr>
        <w:t>.  T</w:t>
      </w:r>
      <w:r>
        <w:rPr>
          <w:sz w:val="22"/>
          <w:szCs w:val="22"/>
        </w:rPr>
        <w:t>hese</w:t>
      </w:r>
      <w:r w:rsidR="008F1D06">
        <w:rPr>
          <w:sz w:val="22"/>
          <w:szCs w:val="22"/>
        </w:rPr>
        <w:t xml:space="preserve"> appeals do not concern that point of difference (neither T nor JB are challenging police intelligence information; their appeals concern the automatic disclosure of their non-conviction disposals in ECRCs).</w:t>
      </w:r>
    </w:p>
    <w:p w:rsidR="00EE5B9E" w:rsidRDefault="00EE5B9E" w:rsidP="00EE5B9E">
      <w:pPr>
        <w:pStyle w:val="ListParagraph"/>
        <w:spacing w:line="360" w:lineRule="auto"/>
        <w:ind w:left="1494"/>
        <w:jc w:val="both"/>
        <w:rPr>
          <w:sz w:val="22"/>
          <w:szCs w:val="22"/>
        </w:rPr>
      </w:pPr>
    </w:p>
    <w:p w:rsidR="004474A7" w:rsidRPr="004474A7" w:rsidRDefault="008F1D06" w:rsidP="00EE5B9E">
      <w:pPr>
        <w:pStyle w:val="ListParagraph"/>
        <w:numPr>
          <w:ilvl w:val="2"/>
          <w:numId w:val="2"/>
        </w:numPr>
        <w:spacing w:line="360" w:lineRule="auto"/>
        <w:jc w:val="both"/>
        <w:rPr>
          <w:sz w:val="22"/>
          <w:szCs w:val="22"/>
        </w:rPr>
      </w:pPr>
      <w:r>
        <w:rPr>
          <w:sz w:val="22"/>
          <w:szCs w:val="22"/>
        </w:rPr>
        <w:t>This appeal</w:t>
      </w:r>
      <w:r w:rsidR="0092284E">
        <w:rPr>
          <w:sz w:val="22"/>
          <w:szCs w:val="22"/>
        </w:rPr>
        <w:t xml:space="preserve"> also has </w:t>
      </w:r>
      <w:r w:rsidR="00EE5B9E">
        <w:rPr>
          <w:sz w:val="22"/>
          <w:szCs w:val="22"/>
        </w:rPr>
        <w:t xml:space="preserve">potentially far </w:t>
      </w:r>
      <w:r w:rsidR="0092284E">
        <w:rPr>
          <w:sz w:val="22"/>
          <w:szCs w:val="22"/>
        </w:rPr>
        <w:t>wider ramifications for Article 8 ECHR cases generally,</w:t>
      </w:r>
      <w:r w:rsidR="00EE5B9E">
        <w:rPr>
          <w:sz w:val="22"/>
          <w:szCs w:val="22"/>
        </w:rPr>
        <w:t xml:space="preserve"> </w:t>
      </w:r>
      <w:r w:rsidR="0092284E">
        <w:rPr>
          <w:sz w:val="22"/>
          <w:szCs w:val="22"/>
        </w:rPr>
        <w:t xml:space="preserve">outside this particular context, </w:t>
      </w:r>
      <w:r w:rsidR="00EE5B9E">
        <w:rPr>
          <w:sz w:val="22"/>
          <w:szCs w:val="22"/>
        </w:rPr>
        <w:t xml:space="preserve">and indeed for other qualified ECHR rights, </w:t>
      </w:r>
      <w:r w:rsidR="0092284E">
        <w:rPr>
          <w:sz w:val="22"/>
          <w:szCs w:val="22"/>
        </w:rPr>
        <w:t xml:space="preserve">given the submissions made by both the </w:t>
      </w:r>
      <w:r w:rsidR="001F0B8A">
        <w:rPr>
          <w:sz w:val="22"/>
          <w:szCs w:val="22"/>
        </w:rPr>
        <w:t xml:space="preserve">SSHD </w:t>
      </w:r>
      <w:r w:rsidR="0092284E">
        <w:rPr>
          <w:sz w:val="22"/>
          <w:szCs w:val="22"/>
        </w:rPr>
        <w:t xml:space="preserve">and </w:t>
      </w:r>
      <w:r w:rsidR="001F0B8A">
        <w:rPr>
          <w:sz w:val="22"/>
          <w:szCs w:val="22"/>
        </w:rPr>
        <w:t xml:space="preserve">SSJ </w:t>
      </w:r>
      <w:r w:rsidR="00DD2A87">
        <w:rPr>
          <w:sz w:val="22"/>
          <w:szCs w:val="22"/>
        </w:rPr>
        <w:t>concerning the utility of blanket, general policies.</w:t>
      </w:r>
      <w:r>
        <w:rPr>
          <w:sz w:val="22"/>
          <w:szCs w:val="22"/>
        </w:rPr>
        <w:t xml:space="preserve">  These submissions were made</w:t>
      </w:r>
      <w:r w:rsidR="00DD2A87">
        <w:rPr>
          <w:sz w:val="22"/>
          <w:szCs w:val="22"/>
        </w:rPr>
        <w:t xml:space="preserve"> </w:t>
      </w:r>
      <w:r w:rsidR="001F0B8A">
        <w:rPr>
          <w:sz w:val="22"/>
          <w:szCs w:val="22"/>
        </w:rPr>
        <w:t>at first instance</w:t>
      </w:r>
      <w:r w:rsidR="006B35E5">
        <w:rPr>
          <w:sz w:val="22"/>
          <w:szCs w:val="22"/>
        </w:rPr>
        <w:t xml:space="preserve"> (</w:t>
      </w:r>
      <w:r w:rsidR="00EE5B9E">
        <w:rPr>
          <w:sz w:val="22"/>
          <w:szCs w:val="22"/>
        </w:rPr>
        <w:t xml:space="preserve">which are summarised at </w:t>
      </w:r>
      <w:proofErr w:type="spellStart"/>
      <w:r w:rsidR="00EE5B9E">
        <w:rPr>
          <w:sz w:val="22"/>
          <w:szCs w:val="22"/>
        </w:rPr>
        <w:t>para</w:t>
      </w:r>
      <w:proofErr w:type="spellEnd"/>
      <w:r w:rsidR="00EE5B9E">
        <w:rPr>
          <w:sz w:val="22"/>
          <w:szCs w:val="22"/>
        </w:rPr>
        <w:t xml:space="preserve">. 17 of </w:t>
      </w:r>
      <w:r w:rsidR="001F0B8A">
        <w:rPr>
          <w:sz w:val="22"/>
          <w:szCs w:val="22"/>
        </w:rPr>
        <w:t>the judgment of Kenneth Parker J</w:t>
      </w:r>
      <w:r>
        <w:rPr>
          <w:sz w:val="22"/>
          <w:szCs w:val="22"/>
        </w:rPr>
        <w:t xml:space="preserve">: </w:t>
      </w:r>
      <w:r w:rsidR="001F0B8A">
        <w:rPr>
          <w:sz w:val="22"/>
          <w:szCs w:val="22"/>
        </w:rPr>
        <w:t>Appellant’s Bundle, p. 28)</w:t>
      </w:r>
      <w:r>
        <w:rPr>
          <w:sz w:val="22"/>
          <w:szCs w:val="22"/>
        </w:rPr>
        <w:t xml:space="preserve"> and are repeated in the SSHD and SSJ Skeleton for the Court of Appeal (see in particular </w:t>
      </w:r>
      <w:proofErr w:type="spellStart"/>
      <w:r>
        <w:rPr>
          <w:sz w:val="22"/>
          <w:szCs w:val="22"/>
        </w:rPr>
        <w:t>paras</w:t>
      </w:r>
      <w:proofErr w:type="spellEnd"/>
      <w:r>
        <w:rPr>
          <w:sz w:val="22"/>
          <w:szCs w:val="22"/>
        </w:rPr>
        <w:t>. 44 and 45)</w:t>
      </w:r>
      <w:r w:rsidR="00EE5B9E">
        <w:rPr>
          <w:sz w:val="22"/>
          <w:szCs w:val="22"/>
        </w:rPr>
        <w:t xml:space="preserve">.  These submissions were </w:t>
      </w:r>
      <w:r w:rsidR="0092284E">
        <w:rPr>
          <w:sz w:val="22"/>
          <w:szCs w:val="22"/>
        </w:rPr>
        <w:t xml:space="preserve">to the effect that </w:t>
      </w:r>
      <w:r w:rsidR="00EE5B9E">
        <w:rPr>
          <w:sz w:val="22"/>
          <w:szCs w:val="22"/>
        </w:rPr>
        <w:t xml:space="preserve">legislation which creates clear </w:t>
      </w:r>
      <w:r w:rsidR="00EE5B9E" w:rsidRPr="00EE5B9E">
        <w:rPr>
          <w:i/>
          <w:sz w:val="22"/>
          <w:szCs w:val="22"/>
        </w:rPr>
        <w:t>“bright lines”</w:t>
      </w:r>
      <w:r w:rsidR="00EE5B9E">
        <w:rPr>
          <w:sz w:val="22"/>
          <w:szCs w:val="22"/>
        </w:rPr>
        <w:t xml:space="preserve"> which are easy to understand and apply, even where their application causes </w:t>
      </w:r>
      <w:r w:rsidR="00EE5B9E" w:rsidRPr="00EE5B9E">
        <w:rPr>
          <w:i/>
          <w:sz w:val="22"/>
          <w:szCs w:val="22"/>
        </w:rPr>
        <w:t>“harsh”</w:t>
      </w:r>
      <w:r w:rsidR="00EE5B9E">
        <w:rPr>
          <w:sz w:val="22"/>
          <w:szCs w:val="22"/>
        </w:rPr>
        <w:t xml:space="preserve"> or </w:t>
      </w:r>
      <w:r w:rsidR="00EE5B9E" w:rsidRPr="00EE5B9E">
        <w:rPr>
          <w:i/>
          <w:sz w:val="22"/>
          <w:szCs w:val="22"/>
        </w:rPr>
        <w:t>“anomalous”</w:t>
      </w:r>
      <w:r w:rsidR="00EE5B9E">
        <w:rPr>
          <w:sz w:val="22"/>
          <w:szCs w:val="22"/>
        </w:rPr>
        <w:t xml:space="preserve"> effects in some cases, should be upheld as proportionate.  This approach would allow for a finding of proportionality under Article 8(2) in an individual case, based on general considerations, and despite apparent </w:t>
      </w:r>
      <w:proofErr w:type="spellStart"/>
      <w:r w:rsidR="00EE5B9E">
        <w:rPr>
          <w:sz w:val="22"/>
          <w:szCs w:val="22"/>
        </w:rPr>
        <w:t>disproportionality</w:t>
      </w:r>
      <w:proofErr w:type="spellEnd"/>
      <w:r w:rsidR="00EE5B9E">
        <w:rPr>
          <w:sz w:val="22"/>
          <w:szCs w:val="22"/>
        </w:rPr>
        <w:t xml:space="preserve"> for the affected individual.</w:t>
      </w:r>
    </w:p>
    <w:p w:rsidR="00EE5B9E" w:rsidRPr="001E4895" w:rsidRDefault="00EE5B9E" w:rsidP="001E4895">
      <w:pPr>
        <w:spacing w:line="360" w:lineRule="auto"/>
        <w:rPr>
          <w:sz w:val="22"/>
          <w:szCs w:val="22"/>
        </w:rPr>
      </w:pPr>
    </w:p>
    <w:p w:rsidR="0058263E" w:rsidRDefault="00EB302D" w:rsidP="006B35E5">
      <w:pPr>
        <w:spacing w:line="360" w:lineRule="auto"/>
        <w:ind w:left="567" w:hanging="567"/>
        <w:rPr>
          <w:sz w:val="22"/>
          <w:szCs w:val="22"/>
        </w:rPr>
      </w:pPr>
      <w:r>
        <w:rPr>
          <w:sz w:val="22"/>
          <w:szCs w:val="22"/>
        </w:rPr>
        <w:t>1.11</w:t>
      </w:r>
      <w:r>
        <w:rPr>
          <w:sz w:val="22"/>
          <w:szCs w:val="22"/>
        </w:rPr>
        <w:tab/>
        <w:t>These submissions are structured as follows:</w:t>
      </w:r>
    </w:p>
    <w:p w:rsidR="0058263E" w:rsidRDefault="00EB302D">
      <w:pPr>
        <w:pStyle w:val="ListParagraph"/>
        <w:numPr>
          <w:ilvl w:val="0"/>
          <w:numId w:val="26"/>
        </w:numPr>
        <w:spacing w:line="360" w:lineRule="auto"/>
        <w:rPr>
          <w:sz w:val="22"/>
          <w:szCs w:val="22"/>
        </w:rPr>
      </w:pPr>
      <w:r>
        <w:rPr>
          <w:sz w:val="22"/>
          <w:szCs w:val="22"/>
        </w:rPr>
        <w:t>Part 1 – Overview</w:t>
      </w:r>
      <w:r w:rsidR="0026450A">
        <w:rPr>
          <w:sz w:val="22"/>
          <w:szCs w:val="22"/>
        </w:rPr>
        <w:t>;</w:t>
      </w:r>
    </w:p>
    <w:p w:rsidR="0058263E" w:rsidRDefault="00EB302D">
      <w:pPr>
        <w:pStyle w:val="ListParagraph"/>
        <w:numPr>
          <w:ilvl w:val="0"/>
          <w:numId w:val="26"/>
        </w:numPr>
        <w:spacing w:line="360" w:lineRule="auto"/>
        <w:rPr>
          <w:sz w:val="22"/>
          <w:szCs w:val="22"/>
        </w:rPr>
      </w:pPr>
      <w:r>
        <w:rPr>
          <w:sz w:val="22"/>
          <w:szCs w:val="22"/>
        </w:rPr>
        <w:t>Part 2 – The Equality and Human Rights Commission</w:t>
      </w:r>
      <w:r w:rsidR="0026450A">
        <w:rPr>
          <w:sz w:val="22"/>
          <w:szCs w:val="22"/>
        </w:rPr>
        <w:t>;</w:t>
      </w:r>
    </w:p>
    <w:p w:rsidR="0058263E" w:rsidRDefault="00EB302D">
      <w:pPr>
        <w:pStyle w:val="ListParagraph"/>
        <w:numPr>
          <w:ilvl w:val="0"/>
          <w:numId w:val="26"/>
        </w:numPr>
        <w:spacing w:line="360" w:lineRule="auto"/>
        <w:rPr>
          <w:sz w:val="22"/>
          <w:szCs w:val="22"/>
        </w:rPr>
      </w:pPr>
      <w:r>
        <w:rPr>
          <w:sz w:val="22"/>
          <w:szCs w:val="22"/>
        </w:rPr>
        <w:lastRenderedPageBreak/>
        <w:t>Part 3 – The Legislation</w:t>
      </w:r>
      <w:r w:rsidR="004C015A">
        <w:rPr>
          <w:sz w:val="22"/>
          <w:szCs w:val="22"/>
        </w:rPr>
        <w:t xml:space="preserve"> Under Challenge</w:t>
      </w:r>
      <w:r w:rsidR="0026450A">
        <w:rPr>
          <w:sz w:val="22"/>
          <w:szCs w:val="22"/>
        </w:rPr>
        <w:t>;</w:t>
      </w:r>
    </w:p>
    <w:p w:rsidR="0058263E" w:rsidRDefault="00EB302D">
      <w:pPr>
        <w:pStyle w:val="ListParagraph"/>
        <w:numPr>
          <w:ilvl w:val="0"/>
          <w:numId w:val="26"/>
        </w:numPr>
        <w:spacing w:line="360" w:lineRule="auto"/>
        <w:rPr>
          <w:sz w:val="22"/>
          <w:szCs w:val="22"/>
        </w:rPr>
      </w:pPr>
      <w:r>
        <w:rPr>
          <w:sz w:val="22"/>
          <w:szCs w:val="22"/>
        </w:rPr>
        <w:t>Part 4 – Incompatibility of the 1997 Act with Article 8</w:t>
      </w:r>
      <w:r w:rsidR="0026450A">
        <w:rPr>
          <w:sz w:val="22"/>
          <w:szCs w:val="22"/>
        </w:rPr>
        <w:t>;</w:t>
      </w:r>
    </w:p>
    <w:p w:rsidR="00EB302D" w:rsidRPr="0058263E" w:rsidRDefault="00EB302D" w:rsidP="0058263E">
      <w:pPr>
        <w:pStyle w:val="ListParagraph"/>
        <w:numPr>
          <w:ilvl w:val="0"/>
          <w:numId w:val="26"/>
        </w:numPr>
        <w:spacing w:line="360" w:lineRule="auto"/>
        <w:rPr>
          <w:sz w:val="22"/>
          <w:szCs w:val="22"/>
        </w:rPr>
      </w:pPr>
      <w:r>
        <w:rPr>
          <w:sz w:val="22"/>
          <w:szCs w:val="22"/>
        </w:rPr>
        <w:t xml:space="preserve">Part 5 – </w:t>
      </w:r>
      <w:r w:rsidR="00BC18C6">
        <w:rPr>
          <w:sz w:val="22"/>
          <w:szCs w:val="22"/>
        </w:rPr>
        <w:t>Incompatibility of t</w:t>
      </w:r>
      <w:r>
        <w:rPr>
          <w:sz w:val="22"/>
          <w:szCs w:val="22"/>
        </w:rPr>
        <w:t>he 1975 Order</w:t>
      </w:r>
      <w:r w:rsidR="00BC18C6">
        <w:rPr>
          <w:sz w:val="22"/>
          <w:szCs w:val="22"/>
        </w:rPr>
        <w:t xml:space="preserve"> with Article 8</w:t>
      </w:r>
      <w:r>
        <w:rPr>
          <w:sz w:val="22"/>
          <w:szCs w:val="22"/>
        </w:rPr>
        <w:t>.</w:t>
      </w:r>
    </w:p>
    <w:p w:rsidR="00EB302D" w:rsidRPr="00BA1A0E" w:rsidRDefault="00EB302D" w:rsidP="00BA1A0E">
      <w:pPr>
        <w:spacing w:line="360" w:lineRule="auto"/>
        <w:rPr>
          <w:sz w:val="22"/>
          <w:szCs w:val="22"/>
        </w:rPr>
      </w:pPr>
    </w:p>
    <w:p w:rsidR="000167B9" w:rsidRDefault="000167B9" w:rsidP="00A56ED5">
      <w:pPr>
        <w:pStyle w:val="ListParagraph"/>
        <w:numPr>
          <w:ilvl w:val="0"/>
          <w:numId w:val="2"/>
        </w:numPr>
        <w:ind w:left="567" w:hanging="567"/>
        <w:jc w:val="both"/>
        <w:rPr>
          <w:b/>
          <w:sz w:val="22"/>
          <w:szCs w:val="22"/>
        </w:rPr>
      </w:pPr>
      <w:r w:rsidRPr="000167B9">
        <w:rPr>
          <w:b/>
          <w:sz w:val="22"/>
          <w:szCs w:val="22"/>
        </w:rPr>
        <w:t>THE EQUALITY AND HUMAN RIGHTS COMMISSION</w:t>
      </w:r>
    </w:p>
    <w:p w:rsidR="000167B9" w:rsidRPr="000167B9" w:rsidRDefault="000167B9" w:rsidP="00A56ED5">
      <w:pPr>
        <w:pStyle w:val="ListParagraph"/>
        <w:ind w:left="567"/>
        <w:jc w:val="both"/>
        <w:rPr>
          <w:b/>
          <w:sz w:val="16"/>
          <w:szCs w:val="16"/>
        </w:rPr>
      </w:pPr>
    </w:p>
    <w:p w:rsidR="000167B9" w:rsidRDefault="000167B9" w:rsidP="000167B9">
      <w:pPr>
        <w:pStyle w:val="ListParagraph"/>
        <w:numPr>
          <w:ilvl w:val="1"/>
          <w:numId w:val="2"/>
        </w:numPr>
        <w:spacing w:line="360" w:lineRule="auto"/>
        <w:ind w:left="567" w:hanging="567"/>
        <w:jc w:val="both"/>
        <w:rPr>
          <w:iCs/>
          <w:sz w:val="22"/>
          <w:szCs w:val="22"/>
          <w:lang w:eastAsia="en-GB"/>
        </w:rPr>
      </w:pPr>
      <w:r w:rsidRPr="000167B9">
        <w:rPr>
          <w:iCs/>
          <w:sz w:val="22"/>
          <w:szCs w:val="22"/>
          <w:lang w:eastAsia="en-GB"/>
        </w:rPr>
        <w:t>The Equality and Human Rights Commission is a statutory body</w:t>
      </w:r>
      <w:r>
        <w:rPr>
          <w:iCs/>
          <w:sz w:val="22"/>
          <w:szCs w:val="22"/>
          <w:lang w:eastAsia="en-GB"/>
        </w:rPr>
        <w:t xml:space="preserve"> established pursuant to the Equality Act 2006 (‘the EA 2006’).  It statutory remit indicates its inte</w:t>
      </w:r>
      <w:r w:rsidR="001D7DBA">
        <w:rPr>
          <w:iCs/>
          <w:sz w:val="22"/>
          <w:szCs w:val="22"/>
          <w:lang w:eastAsia="en-GB"/>
        </w:rPr>
        <w:t>rest in the present proceedings:</w:t>
      </w:r>
      <w:r>
        <w:rPr>
          <w:iCs/>
          <w:sz w:val="22"/>
          <w:szCs w:val="22"/>
          <w:lang w:eastAsia="en-GB"/>
        </w:rPr>
        <w:t xml:space="preserve">  </w:t>
      </w:r>
    </w:p>
    <w:p w:rsidR="000167B9" w:rsidRDefault="000167B9" w:rsidP="000167B9">
      <w:pPr>
        <w:pStyle w:val="ListParagraph"/>
        <w:spacing w:line="360" w:lineRule="auto"/>
        <w:ind w:left="567"/>
        <w:jc w:val="both"/>
        <w:rPr>
          <w:iCs/>
          <w:sz w:val="22"/>
          <w:szCs w:val="22"/>
          <w:lang w:eastAsia="en-GB"/>
        </w:rPr>
      </w:pPr>
    </w:p>
    <w:p w:rsidR="000167B9" w:rsidRDefault="000167B9" w:rsidP="000167B9">
      <w:pPr>
        <w:pStyle w:val="ListParagraph"/>
        <w:numPr>
          <w:ilvl w:val="2"/>
          <w:numId w:val="2"/>
        </w:numPr>
        <w:spacing w:line="360" w:lineRule="auto"/>
        <w:jc w:val="both"/>
        <w:rPr>
          <w:iCs/>
          <w:sz w:val="22"/>
          <w:szCs w:val="22"/>
          <w:lang w:eastAsia="en-GB"/>
        </w:rPr>
      </w:pPr>
      <w:r>
        <w:rPr>
          <w:iCs/>
          <w:sz w:val="22"/>
          <w:szCs w:val="22"/>
          <w:lang w:eastAsia="en-GB"/>
        </w:rPr>
        <w:t>First, the Commission is under a general duty, contained in s. 3 of the EA 2006, to conduct its functions with a view to encouraging and supporting the development of a society in which (among other goals) human rights and equality are respected</w:t>
      </w:r>
      <w:r w:rsidR="0043315E">
        <w:rPr>
          <w:iCs/>
          <w:sz w:val="22"/>
          <w:szCs w:val="22"/>
          <w:lang w:eastAsia="en-GB"/>
        </w:rPr>
        <w:t xml:space="preserve"> and protected;</w:t>
      </w:r>
    </w:p>
    <w:p w:rsidR="000167B9" w:rsidRDefault="000167B9" w:rsidP="000167B9">
      <w:pPr>
        <w:pStyle w:val="ListParagraph"/>
        <w:spacing w:line="360" w:lineRule="auto"/>
        <w:ind w:left="1494"/>
        <w:jc w:val="both"/>
        <w:rPr>
          <w:iCs/>
          <w:sz w:val="22"/>
          <w:szCs w:val="22"/>
          <w:lang w:eastAsia="en-GB"/>
        </w:rPr>
      </w:pPr>
    </w:p>
    <w:p w:rsidR="000167B9" w:rsidRPr="00555002" w:rsidRDefault="000167B9" w:rsidP="000167B9">
      <w:pPr>
        <w:pStyle w:val="ListParagraph"/>
        <w:numPr>
          <w:ilvl w:val="2"/>
          <w:numId w:val="2"/>
        </w:numPr>
        <w:spacing w:line="360" w:lineRule="auto"/>
        <w:jc w:val="both"/>
        <w:rPr>
          <w:iCs/>
          <w:sz w:val="22"/>
          <w:szCs w:val="22"/>
          <w:lang w:eastAsia="en-GB"/>
        </w:rPr>
      </w:pPr>
      <w:r w:rsidRPr="00555002">
        <w:rPr>
          <w:iCs/>
          <w:sz w:val="22"/>
          <w:szCs w:val="22"/>
          <w:lang w:eastAsia="en-GB"/>
        </w:rPr>
        <w:t>Second, pursuant to s. 9 of the EA 2006 the Commission has various duties in relation to the promotion of human rights, including in particular those rights protected under the Human Rights Act 1998 (‘</w:t>
      </w:r>
      <w:r w:rsidR="001D7DBA" w:rsidRPr="00555002">
        <w:rPr>
          <w:iCs/>
          <w:sz w:val="22"/>
          <w:szCs w:val="22"/>
          <w:lang w:eastAsia="en-GB"/>
        </w:rPr>
        <w:t>the HRA’).</w:t>
      </w:r>
      <w:r w:rsidRPr="00555002">
        <w:rPr>
          <w:iCs/>
          <w:sz w:val="22"/>
          <w:szCs w:val="22"/>
          <w:lang w:eastAsia="en-GB"/>
        </w:rPr>
        <w:t xml:space="preserve">   </w:t>
      </w:r>
    </w:p>
    <w:p w:rsidR="000167B9" w:rsidRDefault="000167B9" w:rsidP="000167B9">
      <w:pPr>
        <w:pStyle w:val="ListParagraph"/>
        <w:spacing w:line="360" w:lineRule="auto"/>
        <w:ind w:left="567"/>
        <w:rPr>
          <w:iCs/>
          <w:sz w:val="22"/>
          <w:szCs w:val="22"/>
          <w:lang w:eastAsia="en-GB"/>
        </w:rPr>
      </w:pPr>
    </w:p>
    <w:p w:rsidR="004853C1" w:rsidRDefault="00DE560B" w:rsidP="0043315E">
      <w:pPr>
        <w:pStyle w:val="ListParagraph"/>
        <w:numPr>
          <w:ilvl w:val="1"/>
          <w:numId w:val="2"/>
        </w:numPr>
        <w:spacing w:line="360" w:lineRule="auto"/>
        <w:ind w:left="567" w:hanging="567"/>
        <w:jc w:val="both"/>
        <w:rPr>
          <w:iCs/>
          <w:sz w:val="22"/>
          <w:szCs w:val="22"/>
          <w:lang w:eastAsia="en-GB"/>
        </w:rPr>
      </w:pPr>
      <w:r>
        <w:rPr>
          <w:iCs/>
          <w:sz w:val="22"/>
          <w:szCs w:val="22"/>
          <w:lang w:eastAsia="en-GB"/>
        </w:rPr>
        <w:t>The Commission’s successful application to intervene</w:t>
      </w:r>
      <w:r w:rsidR="000167B9">
        <w:rPr>
          <w:iCs/>
          <w:sz w:val="22"/>
          <w:szCs w:val="22"/>
          <w:lang w:eastAsia="en-GB"/>
        </w:rPr>
        <w:t xml:space="preserve"> in these proceedings </w:t>
      </w:r>
      <w:r>
        <w:rPr>
          <w:iCs/>
          <w:sz w:val="22"/>
          <w:szCs w:val="22"/>
          <w:lang w:eastAsia="en-GB"/>
        </w:rPr>
        <w:t xml:space="preserve">was made </w:t>
      </w:r>
      <w:r w:rsidR="000167B9">
        <w:rPr>
          <w:iCs/>
          <w:sz w:val="22"/>
          <w:szCs w:val="22"/>
          <w:lang w:eastAsia="en-GB"/>
        </w:rPr>
        <w:t>pursuant to s. 30, EA 2006.</w:t>
      </w:r>
      <w:r w:rsidR="001D7DBA">
        <w:rPr>
          <w:iCs/>
          <w:sz w:val="22"/>
          <w:szCs w:val="22"/>
          <w:lang w:eastAsia="en-GB"/>
        </w:rPr>
        <w:t xml:space="preserve">  This provision confers upon the Commission a power to either institute or intervene in legal proceedings, whether for judicial review or otherwise, if </w:t>
      </w:r>
      <w:r w:rsidR="001D7DBA" w:rsidRPr="001D7DBA">
        <w:rPr>
          <w:i/>
          <w:iCs/>
          <w:sz w:val="22"/>
          <w:szCs w:val="22"/>
          <w:lang w:eastAsia="en-GB"/>
        </w:rPr>
        <w:t>“it appears to the Commission that the proceedings are relevant to a matter in connection with which the Commission has a function.”</w:t>
      </w:r>
      <w:r w:rsidR="001D7DBA">
        <w:rPr>
          <w:iCs/>
          <w:sz w:val="22"/>
          <w:szCs w:val="22"/>
          <w:lang w:eastAsia="en-GB"/>
        </w:rPr>
        <w:t xml:space="preserve">  </w:t>
      </w:r>
      <w:r>
        <w:rPr>
          <w:iCs/>
          <w:sz w:val="22"/>
          <w:szCs w:val="22"/>
          <w:lang w:eastAsia="en-GB"/>
        </w:rPr>
        <w:t xml:space="preserve">The Commission considers that this appeal </w:t>
      </w:r>
      <w:r w:rsidR="009B5949">
        <w:rPr>
          <w:iCs/>
          <w:sz w:val="22"/>
          <w:szCs w:val="22"/>
          <w:lang w:eastAsia="en-GB"/>
        </w:rPr>
        <w:t xml:space="preserve">relates to its functions under ss. 3 and 9, and </w:t>
      </w:r>
      <w:r>
        <w:rPr>
          <w:iCs/>
          <w:sz w:val="22"/>
          <w:szCs w:val="22"/>
          <w:lang w:eastAsia="en-GB"/>
        </w:rPr>
        <w:t xml:space="preserve">raises general issues of public importance (see </w:t>
      </w:r>
      <w:proofErr w:type="spellStart"/>
      <w:r>
        <w:rPr>
          <w:iCs/>
          <w:sz w:val="22"/>
          <w:szCs w:val="22"/>
          <w:lang w:eastAsia="en-GB"/>
        </w:rPr>
        <w:t>para</w:t>
      </w:r>
      <w:proofErr w:type="spellEnd"/>
      <w:r>
        <w:rPr>
          <w:iCs/>
          <w:sz w:val="22"/>
          <w:szCs w:val="22"/>
          <w:lang w:eastAsia="en-GB"/>
        </w:rPr>
        <w:t>. 1.</w:t>
      </w:r>
      <w:r w:rsidR="00701F0A">
        <w:rPr>
          <w:iCs/>
          <w:sz w:val="22"/>
          <w:szCs w:val="22"/>
          <w:lang w:eastAsia="en-GB"/>
        </w:rPr>
        <w:t>10</w:t>
      </w:r>
      <w:r>
        <w:rPr>
          <w:iCs/>
          <w:sz w:val="22"/>
          <w:szCs w:val="22"/>
          <w:lang w:eastAsia="en-GB"/>
        </w:rPr>
        <w:t xml:space="preserve"> above)</w:t>
      </w:r>
      <w:r w:rsidR="009B5949">
        <w:rPr>
          <w:iCs/>
          <w:sz w:val="22"/>
          <w:szCs w:val="22"/>
          <w:lang w:eastAsia="en-GB"/>
        </w:rPr>
        <w:t>.</w:t>
      </w:r>
    </w:p>
    <w:p w:rsidR="0058263E" w:rsidRDefault="0058263E">
      <w:pPr>
        <w:pStyle w:val="ListParagraph"/>
        <w:spacing w:line="360" w:lineRule="auto"/>
        <w:ind w:left="567"/>
        <w:jc w:val="both"/>
        <w:rPr>
          <w:iCs/>
          <w:sz w:val="22"/>
          <w:szCs w:val="22"/>
          <w:lang w:eastAsia="en-GB"/>
        </w:rPr>
      </w:pPr>
    </w:p>
    <w:p w:rsidR="004853C1" w:rsidRDefault="00DE560B" w:rsidP="004853C1">
      <w:pPr>
        <w:pStyle w:val="ListParagraph"/>
        <w:numPr>
          <w:ilvl w:val="1"/>
          <w:numId w:val="2"/>
        </w:numPr>
        <w:spacing w:line="360" w:lineRule="auto"/>
        <w:ind w:left="567" w:hanging="567"/>
        <w:jc w:val="both"/>
        <w:rPr>
          <w:iCs/>
          <w:sz w:val="22"/>
          <w:szCs w:val="22"/>
          <w:lang w:eastAsia="en-GB"/>
        </w:rPr>
      </w:pPr>
      <w:r>
        <w:rPr>
          <w:iCs/>
          <w:sz w:val="22"/>
          <w:szCs w:val="22"/>
          <w:lang w:eastAsia="en-GB"/>
        </w:rPr>
        <w:t xml:space="preserve"> </w:t>
      </w:r>
      <w:r w:rsidR="004853C1">
        <w:rPr>
          <w:iCs/>
          <w:sz w:val="22"/>
          <w:szCs w:val="22"/>
          <w:lang w:eastAsia="en-GB"/>
        </w:rPr>
        <w:t xml:space="preserve">The Commission has </w:t>
      </w:r>
      <w:r w:rsidR="008D41A1" w:rsidRPr="008D41A1">
        <w:rPr>
          <w:iCs/>
          <w:sz w:val="22"/>
          <w:szCs w:val="22"/>
          <w:lang w:eastAsia="en-GB"/>
        </w:rPr>
        <w:t xml:space="preserve">strong </w:t>
      </w:r>
      <w:r w:rsidR="004853C1">
        <w:rPr>
          <w:iCs/>
          <w:sz w:val="22"/>
          <w:szCs w:val="22"/>
          <w:lang w:eastAsia="en-GB"/>
        </w:rPr>
        <w:t xml:space="preserve">expertise </w:t>
      </w:r>
      <w:r w:rsidR="008D41A1" w:rsidRPr="008D41A1">
        <w:rPr>
          <w:iCs/>
          <w:sz w:val="22"/>
          <w:szCs w:val="22"/>
          <w:lang w:eastAsia="en-GB"/>
        </w:rPr>
        <w:t xml:space="preserve">in informational privacy issues arising under Article 8 ECHR.  Recently, for example, it intervened in the Supreme Court in </w:t>
      </w:r>
      <w:r w:rsidR="008D41A1" w:rsidRPr="008D41A1">
        <w:rPr>
          <w:i/>
          <w:iCs/>
          <w:sz w:val="22"/>
          <w:szCs w:val="22"/>
          <w:lang w:eastAsia="en-GB"/>
        </w:rPr>
        <w:t>R (GC and C) v. Commissioner of Police for the Metropolis</w:t>
      </w:r>
      <w:r w:rsidR="008D41A1" w:rsidRPr="008D41A1">
        <w:rPr>
          <w:iCs/>
          <w:sz w:val="22"/>
          <w:szCs w:val="22"/>
          <w:lang w:eastAsia="en-GB"/>
        </w:rPr>
        <w:t xml:space="preserve"> [2011] UKSC 21, concerning Association of Chief Police Officers (‘ACPO’) guidelines on retention of DNA samples and fingerprints</w:t>
      </w:r>
      <w:r w:rsidR="0026450A">
        <w:rPr>
          <w:iCs/>
          <w:sz w:val="22"/>
          <w:szCs w:val="22"/>
          <w:lang w:eastAsia="en-GB"/>
        </w:rPr>
        <w:t>, and in</w:t>
      </w:r>
      <w:r w:rsidR="008F1D06">
        <w:rPr>
          <w:iCs/>
          <w:sz w:val="22"/>
          <w:szCs w:val="22"/>
          <w:lang w:eastAsia="en-GB"/>
        </w:rPr>
        <w:t xml:space="preserve"> </w:t>
      </w:r>
      <w:r w:rsidR="004568F4">
        <w:rPr>
          <w:iCs/>
          <w:sz w:val="22"/>
          <w:szCs w:val="22"/>
          <w:lang w:eastAsia="en-GB"/>
        </w:rPr>
        <w:t xml:space="preserve">the Administrative Court in </w:t>
      </w:r>
      <w:r w:rsidR="008D41A1" w:rsidRPr="008D41A1">
        <w:rPr>
          <w:i/>
          <w:iCs/>
          <w:sz w:val="22"/>
          <w:szCs w:val="22"/>
          <w:lang w:eastAsia="en-GB"/>
        </w:rPr>
        <w:t>R (RMC and FJ) v. Commissioner of Police for the Metropolis</w:t>
      </w:r>
      <w:r w:rsidR="008F1D06">
        <w:rPr>
          <w:iCs/>
          <w:sz w:val="22"/>
          <w:szCs w:val="22"/>
          <w:lang w:eastAsia="en-GB"/>
        </w:rPr>
        <w:t xml:space="preserve"> [2012] EWHC 1681 (Admin), concerning the retention of custody photographs of the claimants pursuant to the Police and Criminal Evidence Act 1984 (‘PACE’), s. 64A.  The Commission has also </w:t>
      </w:r>
      <w:r w:rsidR="008F1D06">
        <w:rPr>
          <w:iCs/>
          <w:sz w:val="22"/>
          <w:szCs w:val="22"/>
          <w:lang w:eastAsia="en-GB"/>
        </w:rPr>
        <w:lastRenderedPageBreak/>
        <w:t>commissioned independent research</w:t>
      </w:r>
      <w:r w:rsidR="004568F4">
        <w:rPr>
          <w:rStyle w:val="FootnoteReference"/>
          <w:iCs/>
          <w:sz w:val="22"/>
          <w:szCs w:val="22"/>
          <w:lang w:eastAsia="en-GB"/>
        </w:rPr>
        <w:footnoteReference w:id="1"/>
      </w:r>
      <w:r w:rsidR="008F1D06">
        <w:rPr>
          <w:iCs/>
          <w:sz w:val="22"/>
          <w:szCs w:val="22"/>
          <w:lang w:eastAsia="en-GB"/>
        </w:rPr>
        <w:t xml:space="preserve"> on </w:t>
      </w:r>
      <w:r w:rsidR="004568F4">
        <w:rPr>
          <w:iCs/>
          <w:sz w:val="22"/>
          <w:szCs w:val="22"/>
          <w:lang w:eastAsia="en-GB"/>
        </w:rPr>
        <w:t>‘</w:t>
      </w:r>
      <w:r w:rsidR="008F1D06">
        <w:rPr>
          <w:iCs/>
          <w:sz w:val="22"/>
          <w:szCs w:val="22"/>
          <w:lang w:eastAsia="en-GB"/>
        </w:rPr>
        <w:t>information privacy</w:t>
      </w:r>
      <w:r w:rsidR="004568F4">
        <w:rPr>
          <w:iCs/>
          <w:sz w:val="22"/>
          <w:szCs w:val="22"/>
          <w:lang w:eastAsia="en-GB"/>
        </w:rPr>
        <w:t>’</w:t>
      </w:r>
      <w:r w:rsidR="008F1D06">
        <w:rPr>
          <w:iCs/>
          <w:sz w:val="22"/>
          <w:szCs w:val="22"/>
          <w:lang w:eastAsia="en-GB"/>
        </w:rPr>
        <w:t xml:space="preserve"> and human rights, to explore issues surrounding the </w:t>
      </w:r>
      <w:r w:rsidR="004568F4">
        <w:rPr>
          <w:iCs/>
          <w:sz w:val="22"/>
          <w:szCs w:val="22"/>
          <w:lang w:eastAsia="en-GB"/>
        </w:rPr>
        <w:t>concept of information privacy</w:t>
      </w:r>
      <w:r w:rsidR="008F1D06">
        <w:rPr>
          <w:iCs/>
          <w:sz w:val="22"/>
          <w:szCs w:val="22"/>
          <w:lang w:eastAsia="en-GB"/>
        </w:rPr>
        <w:t xml:space="preserve"> and develop the Commission’s expertise and understanding in this area of work.  In Summer 2011 </w:t>
      </w:r>
      <w:r w:rsidR="004568F4">
        <w:rPr>
          <w:iCs/>
          <w:sz w:val="22"/>
          <w:szCs w:val="22"/>
          <w:lang w:eastAsia="en-GB"/>
        </w:rPr>
        <w:t xml:space="preserve">a detailed report was published, </w:t>
      </w:r>
      <w:r w:rsidR="008D41A1" w:rsidRPr="008D41A1">
        <w:rPr>
          <w:i/>
          <w:iCs/>
          <w:sz w:val="22"/>
          <w:szCs w:val="22"/>
          <w:lang w:eastAsia="en-GB"/>
        </w:rPr>
        <w:t>Protecting Information Privacy</w:t>
      </w:r>
      <w:r w:rsidR="004568F4">
        <w:rPr>
          <w:iCs/>
          <w:sz w:val="22"/>
          <w:szCs w:val="22"/>
          <w:lang w:eastAsia="en-GB"/>
        </w:rPr>
        <w:t xml:space="preserve"> (Equality and Human Rights Commission Research Report 69).  </w:t>
      </w:r>
      <w:r w:rsidR="008F1D06">
        <w:rPr>
          <w:iCs/>
          <w:sz w:val="22"/>
          <w:szCs w:val="22"/>
          <w:lang w:eastAsia="en-GB"/>
        </w:rPr>
        <w:t xml:space="preserve"> </w:t>
      </w:r>
      <w:r w:rsidR="0026450A">
        <w:rPr>
          <w:iCs/>
          <w:sz w:val="22"/>
          <w:szCs w:val="22"/>
          <w:lang w:eastAsia="en-GB"/>
        </w:rPr>
        <w:t xml:space="preserve"> </w:t>
      </w:r>
    </w:p>
    <w:p w:rsidR="00A56ED5" w:rsidRPr="00DE560B" w:rsidRDefault="00A56ED5" w:rsidP="00DE560B">
      <w:pPr>
        <w:spacing w:line="360" w:lineRule="auto"/>
        <w:rPr>
          <w:b/>
          <w:iCs/>
          <w:sz w:val="22"/>
          <w:szCs w:val="22"/>
          <w:lang w:eastAsia="en-GB"/>
        </w:rPr>
      </w:pPr>
    </w:p>
    <w:p w:rsidR="00A56ED5" w:rsidRDefault="006916BE" w:rsidP="00DE560B">
      <w:pPr>
        <w:pStyle w:val="ListParagraph"/>
        <w:numPr>
          <w:ilvl w:val="0"/>
          <w:numId w:val="2"/>
        </w:numPr>
        <w:spacing w:line="360" w:lineRule="auto"/>
        <w:ind w:left="567" w:hanging="567"/>
        <w:rPr>
          <w:b/>
          <w:iCs/>
          <w:sz w:val="22"/>
          <w:szCs w:val="22"/>
          <w:lang w:eastAsia="en-GB"/>
        </w:rPr>
      </w:pPr>
      <w:r w:rsidRPr="006916BE">
        <w:rPr>
          <w:b/>
          <w:iCs/>
          <w:sz w:val="22"/>
          <w:szCs w:val="22"/>
          <w:lang w:eastAsia="en-GB"/>
        </w:rPr>
        <w:t xml:space="preserve">THE </w:t>
      </w:r>
      <w:r w:rsidR="004C015A">
        <w:rPr>
          <w:b/>
          <w:iCs/>
          <w:sz w:val="22"/>
          <w:szCs w:val="22"/>
          <w:lang w:eastAsia="en-GB"/>
        </w:rPr>
        <w:t xml:space="preserve">  </w:t>
      </w:r>
      <w:r w:rsidR="00DE560B">
        <w:rPr>
          <w:b/>
          <w:iCs/>
          <w:sz w:val="22"/>
          <w:szCs w:val="22"/>
          <w:lang w:eastAsia="en-GB"/>
        </w:rPr>
        <w:t>LEGISLATION</w:t>
      </w:r>
      <w:r w:rsidR="004C015A">
        <w:rPr>
          <w:b/>
          <w:iCs/>
          <w:sz w:val="22"/>
          <w:szCs w:val="22"/>
          <w:lang w:eastAsia="en-GB"/>
        </w:rPr>
        <w:t xml:space="preserve"> UNDER CHALLENGE</w:t>
      </w:r>
      <w:r w:rsidR="006A4614">
        <w:rPr>
          <w:b/>
          <w:iCs/>
          <w:sz w:val="22"/>
          <w:szCs w:val="22"/>
          <w:lang w:eastAsia="en-GB"/>
        </w:rPr>
        <w:t xml:space="preserve"> </w:t>
      </w:r>
    </w:p>
    <w:p w:rsidR="006B35E5" w:rsidRPr="00DE560B" w:rsidRDefault="006B35E5" w:rsidP="006B35E5">
      <w:pPr>
        <w:pStyle w:val="ListParagraph"/>
        <w:spacing w:line="360" w:lineRule="auto"/>
        <w:ind w:left="567"/>
        <w:rPr>
          <w:b/>
          <w:iCs/>
          <w:sz w:val="22"/>
          <w:szCs w:val="22"/>
          <w:lang w:eastAsia="en-GB"/>
        </w:rPr>
      </w:pPr>
    </w:p>
    <w:p w:rsidR="000E79ED" w:rsidRDefault="00EC7529" w:rsidP="00DE560B">
      <w:pPr>
        <w:pStyle w:val="ListParagraph"/>
        <w:numPr>
          <w:ilvl w:val="1"/>
          <w:numId w:val="2"/>
        </w:numPr>
        <w:spacing w:line="360" w:lineRule="auto"/>
        <w:ind w:left="567" w:hanging="567"/>
        <w:jc w:val="both"/>
        <w:rPr>
          <w:iCs/>
          <w:sz w:val="22"/>
          <w:szCs w:val="22"/>
          <w:lang w:eastAsia="en-GB"/>
        </w:rPr>
      </w:pPr>
      <w:r w:rsidRPr="009B5949">
        <w:rPr>
          <w:iCs/>
          <w:sz w:val="22"/>
          <w:szCs w:val="22"/>
          <w:lang w:eastAsia="en-GB"/>
        </w:rPr>
        <w:t xml:space="preserve">The </w:t>
      </w:r>
      <w:r w:rsidR="00DE560B" w:rsidRPr="009B5949">
        <w:rPr>
          <w:iCs/>
          <w:sz w:val="22"/>
          <w:szCs w:val="22"/>
          <w:lang w:eastAsia="en-GB"/>
        </w:rPr>
        <w:t>Commission has had sight of the summary of the</w:t>
      </w:r>
      <w:r w:rsidR="009B5949">
        <w:rPr>
          <w:iCs/>
          <w:sz w:val="22"/>
          <w:szCs w:val="22"/>
          <w:lang w:eastAsia="en-GB"/>
        </w:rPr>
        <w:t xml:space="preserve"> two relevant legislative schemes (the 1997 Act and the 1974 Order)</w:t>
      </w:r>
      <w:r w:rsidR="00DE560B" w:rsidRPr="009B5949">
        <w:rPr>
          <w:iCs/>
          <w:sz w:val="22"/>
          <w:szCs w:val="22"/>
          <w:lang w:eastAsia="en-GB"/>
        </w:rPr>
        <w:t xml:space="preserve"> provided by the SSHD and SSJ in their Skeleton, at paragraphs 7 –</w:t>
      </w:r>
      <w:r w:rsidR="009B5949" w:rsidRPr="009B5949">
        <w:rPr>
          <w:iCs/>
          <w:sz w:val="22"/>
          <w:szCs w:val="22"/>
          <w:lang w:eastAsia="en-GB"/>
        </w:rPr>
        <w:t xml:space="preserve"> 22, with which it agrees</w:t>
      </w:r>
      <w:r w:rsidR="00522163">
        <w:rPr>
          <w:iCs/>
          <w:sz w:val="22"/>
          <w:szCs w:val="22"/>
          <w:lang w:eastAsia="en-GB"/>
        </w:rPr>
        <w:t xml:space="preserve">, </w:t>
      </w:r>
      <w:r w:rsidR="000E79ED">
        <w:rPr>
          <w:iCs/>
          <w:sz w:val="22"/>
          <w:szCs w:val="22"/>
          <w:lang w:eastAsia="en-GB"/>
        </w:rPr>
        <w:t xml:space="preserve">save for </w:t>
      </w:r>
      <w:r w:rsidR="00522163">
        <w:rPr>
          <w:iCs/>
          <w:sz w:val="22"/>
          <w:szCs w:val="22"/>
          <w:lang w:eastAsia="en-GB"/>
        </w:rPr>
        <w:t xml:space="preserve">in relation to two points.  First, </w:t>
      </w:r>
      <w:r w:rsidR="000E79ED">
        <w:rPr>
          <w:iCs/>
          <w:sz w:val="22"/>
          <w:szCs w:val="22"/>
          <w:lang w:eastAsia="en-GB"/>
        </w:rPr>
        <w:t>the reference in footnote 2 to s. 80 should instead read s. 82</w:t>
      </w:r>
      <w:r w:rsidR="009B5949" w:rsidRPr="009B5949">
        <w:rPr>
          <w:iCs/>
          <w:sz w:val="22"/>
          <w:szCs w:val="22"/>
          <w:lang w:eastAsia="en-GB"/>
        </w:rPr>
        <w:t>.</w:t>
      </w:r>
      <w:r w:rsidR="00522163">
        <w:rPr>
          <w:iCs/>
          <w:sz w:val="22"/>
          <w:szCs w:val="22"/>
          <w:lang w:eastAsia="en-GB"/>
        </w:rPr>
        <w:t xml:space="preserve">  Second, when describing the meaning of </w:t>
      </w:r>
      <w:r w:rsidR="008D41A1" w:rsidRPr="008D41A1">
        <w:rPr>
          <w:i/>
          <w:iCs/>
          <w:sz w:val="22"/>
          <w:szCs w:val="22"/>
          <w:lang w:eastAsia="en-GB"/>
        </w:rPr>
        <w:t>“central records”</w:t>
      </w:r>
      <w:r w:rsidR="00522163">
        <w:rPr>
          <w:iCs/>
          <w:sz w:val="22"/>
          <w:szCs w:val="22"/>
          <w:lang w:eastAsia="en-GB"/>
        </w:rPr>
        <w:t xml:space="preserve"> in </w:t>
      </w:r>
      <w:proofErr w:type="spellStart"/>
      <w:r w:rsidR="00522163">
        <w:rPr>
          <w:iCs/>
          <w:sz w:val="22"/>
          <w:szCs w:val="22"/>
          <w:lang w:eastAsia="en-GB"/>
        </w:rPr>
        <w:t>para</w:t>
      </w:r>
      <w:proofErr w:type="spellEnd"/>
      <w:r w:rsidR="00522163">
        <w:rPr>
          <w:iCs/>
          <w:sz w:val="22"/>
          <w:szCs w:val="22"/>
          <w:lang w:eastAsia="en-GB"/>
        </w:rPr>
        <w:t>. 9 it is suggested that the P</w:t>
      </w:r>
      <w:r w:rsidR="005A795C">
        <w:rPr>
          <w:iCs/>
          <w:sz w:val="22"/>
          <w:szCs w:val="22"/>
          <w:lang w:eastAsia="en-GB"/>
        </w:rPr>
        <w:t xml:space="preserve">olice </w:t>
      </w:r>
      <w:r w:rsidR="00522163">
        <w:rPr>
          <w:iCs/>
          <w:sz w:val="22"/>
          <w:szCs w:val="22"/>
          <w:lang w:eastAsia="en-GB"/>
        </w:rPr>
        <w:t>N</w:t>
      </w:r>
      <w:r w:rsidR="005A795C">
        <w:rPr>
          <w:iCs/>
          <w:sz w:val="22"/>
          <w:szCs w:val="22"/>
          <w:lang w:eastAsia="en-GB"/>
        </w:rPr>
        <w:t xml:space="preserve">ational </w:t>
      </w:r>
      <w:r w:rsidR="00522163">
        <w:rPr>
          <w:iCs/>
          <w:sz w:val="22"/>
          <w:szCs w:val="22"/>
          <w:lang w:eastAsia="en-GB"/>
        </w:rPr>
        <w:t>C</w:t>
      </w:r>
      <w:r w:rsidR="005A795C">
        <w:rPr>
          <w:iCs/>
          <w:sz w:val="22"/>
          <w:szCs w:val="22"/>
          <w:lang w:eastAsia="en-GB"/>
        </w:rPr>
        <w:t>omputer (‘PNC’)</w:t>
      </w:r>
      <w:r w:rsidR="00522163">
        <w:rPr>
          <w:iCs/>
          <w:sz w:val="22"/>
          <w:szCs w:val="22"/>
          <w:lang w:eastAsia="en-GB"/>
        </w:rPr>
        <w:t xml:space="preserve"> contains details only of ‘recordable offences’</w:t>
      </w:r>
      <w:r w:rsidR="009821E7">
        <w:rPr>
          <w:iCs/>
          <w:sz w:val="22"/>
          <w:szCs w:val="22"/>
          <w:lang w:eastAsia="en-GB"/>
        </w:rPr>
        <w:t xml:space="preserve"> and excludes ‘minor offences,’</w:t>
      </w:r>
      <w:r w:rsidR="005A795C">
        <w:rPr>
          <w:iCs/>
          <w:sz w:val="22"/>
          <w:szCs w:val="22"/>
          <w:lang w:eastAsia="en-GB"/>
        </w:rPr>
        <w:t xml:space="preserve"> but this is not accepted (see below at </w:t>
      </w:r>
      <w:proofErr w:type="spellStart"/>
      <w:r w:rsidR="005A795C">
        <w:rPr>
          <w:iCs/>
          <w:sz w:val="22"/>
          <w:szCs w:val="22"/>
          <w:lang w:eastAsia="en-GB"/>
        </w:rPr>
        <w:t>para</w:t>
      </w:r>
      <w:proofErr w:type="spellEnd"/>
      <w:r w:rsidR="005A795C">
        <w:rPr>
          <w:iCs/>
          <w:sz w:val="22"/>
          <w:szCs w:val="22"/>
          <w:lang w:eastAsia="en-GB"/>
        </w:rPr>
        <w:t xml:space="preserve">. 3.6). </w:t>
      </w:r>
      <w:r w:rsidR="009B5949">
        <w:rPr>
          <w:iCs/>
          <w:sz w:val="22"/>
          <w:szCs w:val="22"/>
          <w:lang w:eastAsia="en-GB"/>
        </w:rPr>
        <w:t xml:space="preserve">  </w:t>
      </w:r>
    </w:p>
    <w:p w:rsidR="000E79ED" w:rsidRDefault="000E79ED" w:rsidP="000E79ED">
      <w:pPr>
        <w:pStyle w:val="ListParagraph"/>
        <w:spacing w:line="360" w:lineRule="auto"/>
        <w:ind w:left="567"/>
        <w:jc w:val="both"/>
        <w:rPr>
          <w:iCs/>
          <w:sz w:val="22"/>
          <w:szCs w:val="22"/>
          <w:lang w:eastAsia="en-GB"/>
        </w:rPr>
      </w:pPr>
    </w:p>
    <w:p w:rsidR="009B5949" w:rsidRDefault="009B5949" w:rsidP="00DE560B">
      <w:pPr>
        <w:pStyle w:val="ListParagraph"/>
        <w:numPr>
          <w:ilvl w:val="1"/>
          <w:numId w:val="2"/>
        </w:numPr>
        <w:spacing w:line="360" w:lineRule="auto"/>
        <w:ind w:left="567" w:hanging="567"/>
        <w:jc w:val="both"/>
        <w:rPr>
          <w:iCs/>
          <w:sz w:val="22"/>
          <w:szCs w:val="22"/>
          <w:lang w:eastAsia="en-GB"/>
        </w:rPr>
      </w:pPr>
      <w:r>
        <w:rPr>
          <w:iCs/>
          <w:sz w:val="22"/>
          <w:szCs w:val="22"/>
          <w:lang w:eastAsia="en-GB"/>
        </w:rPr>
        <w:t xml:space="preserve">The wording of s. 113B(4) provided in </w:t>
      </w:r>
      <w:proofErr w:type="spellStart"/>
      <w:r>
        <w:rPr>
          <w:iCs/>
          <w:sz w:val="22"/>
          <w:szCs w:val="22"/>
          <w:lang w:eastAsia="en-GB"/>
        </w:rPr>
        <w:t>para</w:t>
      </w:r>
      <w:proofErr w:type="spellEnd"/>
      <w:r>
        <w:rPr>
          <w:iCs/>
          <w:sz w:val="22"/>
          <w:szCs w:val="22"/>
          <w:lang w:eastAsia="en-GB"/>
        </w:rPr>
        <w:t xml:space="preserve">. 7 </w:t>
      </w:r>
      <w:r w:rsidR="000E79ED">
        <w:rPr>
          <w:iCs/>
          <w:sz w:val="22"/>
          <w:szCs w:val="22"/>
          <w:lang w:eastAsia="en-GB"/>
        </w:rPr>
        <w:t xml:space="preserve">of the SSHD/ SSJ Skeleton </w:t>
      </w:r>
      <w:r>
        <w:rPr>
          <w:iCs/>
          <w:sz w:val="22"/>
          <w:szCs w:val="22"/>
          <w:lang w:eastAsia="en-GB"/>
        </w:rPr>
        <w:t>is of course the</w:t>
      </w:r>
      <w:r w:rsidR="000E79ED">
        <w:rPr>
          <w:iCs/>
          <w:sz w:val="22"/>
          <w:szCs w:val="22"/>
          <w:lang w:eastAsia="en-GB"/>
        </w:rPr>
        <w:t xml:space="preserve"> current version, in force from 10</w:t>
      </w:r>
      <w:r w:rsidR="000E79ED" w:rsidRPr="000E79ED">
        <w:rPr>
          <w:iCs/>
          <w:sz w:val="22"/>
          <w:szCs w:val="22"/>
          <w:vertAlign w:val="superscript"/>
          <w:lang w:eastAsia="en-GB"/>
        </w:rPr>
        <w:t>th</w:t>
      </w:r>
      <w:r w:rsidR="00F76D73">
        <w:rPr>
          <w:iCs/>
          <w:sz w:val="22"/>
          <w:szCs w:val="22"/>
          <w:lang w:eastAsia="en-GB"/>
        </w:rPr>
        <w:t xml:space="preserve"> September 2012 only, pursuant to</w:t>
      </w:r>
      <w:r w:rsidR="000E79ED">
        <w:rPr>
          <w:iCs/>
          <w:sz w:val="22"/>
          <w:szCs w:val="22"/>
          <w:lang w:eastAsia="en-GB"/>
        </w:rPr>
        <w:t xml:space="preserve"> the amendment of s. 113B by s. 82, Protection of Freedoms Act 2012.</w:t>
      </w:r>
      <w:r w:rsidR="00F76D73">
        <w:rPr>
          <w:iCs/>
          <w:sz w:val="22"/>
          <w:szCs w:val="22"/>
          <w:lang w:eastAsia="en-GB"/>
        </w:rPr>
        <w:t xml:space="preserve">  This was in accordance with the recommendations of Mrs. </w:t>
      </w:r>
      <w:proofErr w:type="spellStart"/>
      <w:r w:rsidR="00F76D73">
        <w:rPr>
          <w:iCs/>
          <w:sz w:val="22"/>
          <w:szCs w:val="22"/>
          <w:lang w:eastAsia="en-GB"/>
        </w:rPr>
        <w:t>Sunita</w:t>
      </w:r>
      <w:proofErr w:type="spellEnd"/>
      <w:r w:rsidR="00F76D73">
        <w:rPr>
          <w:iCs/>
          <w:sz w:val="22"/>
          <w:szCs w:val="22"/>
          <w:lang w:eastAsia="en-GB"/>
        </w:rPr>
        <w:t xml:space="preserve"> Mason.</w:t>
      </w:r>
      <w:r w:rsidR="000E79ED">
        <w:rPr>
          <w:iCs/>
          <w:sz w:val="22"/>
          <w:szCs w:val="22"/>
          <w:lang w:eastAsia="en-GB"/>
        </w:rPr>
        <w:t xml:space="preserve">  The Commission agrees with the Appellant’s summary of the effect of that recent change in </w:t>
      </w:r>
      <w:proofErr w:type="spellStart"/>
      <w:r w:rsidR="000E79ED">
        <w:rPr>
          <w:iCs/>
          <w:sz w:val="22"/>
          <w:szCs w:val="22"/>
          <w:lang w:eastAsia="en-GB"/>
        </w:rPr>
        <w:t>para</w:t>
      </w:r>
      <w:proofErr w:type="spellEnd"/>
      <w:r w:rsidR="000E79ED">
        <w:rPr>
          <w:iCs/>
          <w:sz w:val="22"/>
          <w:szCs w:val="22"/>
          <w:lang w:eastAsia="en-GB"/>
        </w:rPr>
        <w:t>. 5 of his Supplementary Skeleton Argument.</w:t>
      </w:r>
      <w:r w:rsidR="00701F0A">
        <w:rPr>
          <w:iCs/>
          <w:sz w:val="22"/>
          <w:szCs w:val="22"/>
          <w:lang w:eastAsia="en-GB"/>
        </w:rPr>
        <w:t xml:space="preserve">  It concerns police intelligence information and does not alter the issue in this appeal, namely the disclosure of non-conviction disposals in ECRCs.</w:t>
      </w:r>
      <w:r>
        <w:rPr>
          <w:iCs/>
          <w:sz w:val="22"/>
          <w:szCs w:val="22"/>
          <w:lang w:eastAsia="en-GB"/>
        </w:rPr>
        <w:t xml:space="preserve">   </w:t>
      </w:r>
      <w:r w:rsidRPr="009B5949">
        <w:rPr>
          <w:iCs/>
          <w:sz w:val="22"/>
          <w:szCs w:val="22"/>
          <w:lang w:eastAsia="en-GB"/>
        </w:rPr>
        <w:t xml:space="preserve"> </w:t>
      </w:r>
    </w:p>
    <w:p w:rsidR="009B5949" w:rsidRDefault="009B5949" w:rsidP="009B5949">
      <w:pPr>
        <w:pStyle w:val="ListParagraph"/>
        <w:spacing w:line="360" w:lineRule="auto"/>
        <w:ind w:left="567"/>
        <w:jc w:val="both"/>
        <w:rPr>
          <w:iCs/>
          <w:sz w:val="22"/>
          <w:szCs w:val="22"/>
          <w:lang w:eastAsia="en-GB"/>
        </w:rPr>
      </w:pPr>
    </w:p>
    <w:p w:rsidR="00001BA6" w:rsidRDefault="009B5949" w:rsidP="00DE560B">
      <w:pPr>
        <w:pStyle w:val="ListParagraph"/>
        <w:numPr>
          <w:ilvl w:val="1"/>
          <w:numId w:val="2"/>
        </w:numPr>
        <w:spacing w:line="360" w:lineRule="auto"/>
        <w:ind w:left="567" w:hanging="567"/>
        <w:jc w:val="both"/>
        <w:rPr>
          <w:iCs/>
          <w:sz w:val="22"/>
          <w:szCs w:val="22"/>
          <w:lang w:eastAsia="en-GB"/>
        </w:rPr>
      </w:pPr>
      <w:r>
        <w:rPr>
          <w:iCs/>
          <w:sz w:val="22"/>
          <w:szCs w:val="22"/>
          <w:lang w:eastAsia="en-GB"/>
        </w:rPr>
        <w:t xml:space="preserve">An unusual feature of s. 113B of the 1997 Act is that, although much of the language used appears to indicate the exercise of discretion, </w:t>
      </w:r>
      <w:r w:rsidR="000E79ED">
        <w:rPr>
          <w:iCs/>
          <w:sz w:val="22"/>
          <w:szCs w:val="22"/>
          <w:lang w:eastAsia="en-GB"/>
        </w:rPr>
        <w:t xml:space="preserve">as regards the disclosure of conviction and non-conviction disposals </w:t>
      </w:r>
      <w:r>
        <w:rPr>
          <w:iCs/>
          <w:sz w:val="22"/>
          <w:szCs w:val="22"/>
          <w:lang w:eastAsia="en-GB"/>
        </w:rPr>
        <w:t>it is</w:t>
      </w:r>
      <w:r w:rsidR="000E79ED">
        <w:rPr>
          <w:iCs/>
          <w:sz w:val="22"/>
          <w:szCs w:val="22"/>
          <w:lang w:eastAsia="en-GB"/>
        </w:rPr>
        <w:t xml:space="preserve"> in fact</w:t>
      </w:r>
      <w:r>
        <w:rPr>
          <w:iCs/>
          <w:sz w:val="22"/>
          <w:szCs w:val="22"/>
          <w:lang w:eastAsia="en-GB"/>
        </w:rPr>
        <w:t xml:space="preserve"> a mandatory and blanket scheme.  For example, s. 113B(3)(a) refers to </w:t>
      </w:r>
      <w:r w:rsidRPr="000E79ED">
        <w:rPr>
          <w:i/>
          <w:iCs/>
          <w:sz w:val="22"/>
          <w:szCs w:val="22"/>
          <w:lang w:eastAsia="en-GB"/>
        </w:rPr>
        <w:t>“every relevant matter</w:t>
      </w:r>
      <w:r w:rsidR="000E79ED" w:rsidRPr="000E79ED">
        <w:rPr>
          <w:i/>
          <w:iCs/>
          <w:sz w:val="22"/>
          <w:szCs w:val="22"/>
          <w:lang w:eastAsia="en-GB"/>
        </w:rPr>
        <w:t>,</w:t>
      </w:r>
      <w:r w:rsidRPr="000E79ED">
        <w:rPr>
          <w:i/>
          <w:iCs/>
          <w:sz w:val="22"/>
          <w:szCs w:val="22"/>
          <w:lang w:eastAsia="en-GB"/>
        </w:rPr>
        <w:t>”</w:t>
      </w:r>
      <w:r w:rsidR="000E79ED">
        <w:rPr>
          <w:iCs/>
          <w:sz w:val="22"/>
          <w:szCs w:val="22"/>
          <w:lang w:eastAsia="en-GB"/>
        </w:rPr>
        <w:t xml:space="preserve"> yet the meaning of this phrase is then fixed by s. 113A(6), to automatically include all convictions (whether spent or not) and all cautions (whether spent or not); and the reference to ‘cautions’ includes warnings and reprimands (s. 65(9), Crime and Disorder Act 1998 and s. 17(2), Interpretation Act 1978).</w:t>
      </w:r>
      <w:r w:rsidR="008B3BF1">
        <w:rPr>
          <w:iCs/>
          <w:sz w:val="22"/>
          <w:szCs w:val="22"/>
          <w:lang w:eastAsia="en-GB"/>
        </w:rPr>
        <w:t xml:space="preserve">  This amounts to </w:t>
      </w:r>
      <w:r w:rsidR="00763279">
        <w:rPr>
          <w:iCs/>
          <w:sz w:val="22"/>
          <w:szCs w:val="22"/>
          <w:lang w:eastAsia="en-GB"/>
        </w:rPr>
        <w:t xml:space="preserve">an automatic, blanket rule which deems </w:t>
      </w:r>
      <w:r w:rsidR="008B3BF1">
        <w:rPr>
          <w:iCs/>
          <w:sz w:val="22"/>
          <w:szCs w:val="22"/>
          <w:lang w:eastAsia="en-GB"/>
        </w:rPr>
        <w:t>all conviction and non-conviction disposals to be ‘relevant’ for the purposes of an ECRC</w:t>
      </w:r>
      <w:r w:rsidR="00B14B48">
        <w:rPr>
          <w:iCs/>
          <w:sz w:val="22"/>
          <w:szCs w:val="22"/>
          <w:lang w:eastAsia="en-GB"/>
        </w:rPr>
        <w:t>, regardless of the particular circumstances of the individual involved</w:t>
      </w:r>
      <w:r w:rsidR="008B3BF1">
        <w:rPr>
          <w:iCs/>
          <w:sz w:val="22"/>
          <w:szCs w:val="22"/>
          <w:lang w:eastAsia="en-GB"/>
        </w:rPr>
        <w:t>; and it is mandatory for the ECRC to be issued</w:t>
      </w:r>
      <w:r w:rsidR="00B14B48">
        <w:rPr>
          <w:iCs/>
          <w:sz w:val="22"/>
          <w:szCs w:val="22"/>
          <w:lang w:eastAsia="en-GB"/>
        </w:rPr>
        <w:t xml:space="preserve"> when the application has been made and the required fee paid</w:t>
      </w:r>
      <w:r w:rsidR="008B3BF1">
        <w:rPr>
          <w:iCs/>
          <w:sz w:val="22"/>
          <w:szCs w:val="22"/>
          <w:lang w:eastAsia="en-GB"/>
        </w:rPr>
        <w:t xml:space="preserve"> (s. 113B(1) – </w:t>
      </w:r>
      <w:r w:rsidR="00B14B48" w:rsidRPr="00B14B48">
        <w:rPr>
          <w:i/>
          <w:iCs/>
          <w:sz w:val="22"/>
          <w:szCs w:val="22"/>
          <w:lang w:eastAsia="en-GB"/>
        </w:rPr>
        <w:t>“</w:t>
      </w:r>
      <w:r w:rsidR="008B3BF1" w:rsidRPr="00B14B48">
        <w:rPr>
          <w:i/>
          <w:iCs/>
          <w:sz w:val="22"/>
          <w:szCs w:val="22"/>
          <w:lang w:eastAsia="en-GB"/>
        </w:rPr>
        <w:t xml:space="preserve">the Secretary </w:t>
      </w:r>
      <w:r w:rsidR="008B3BF1" w:rsidRPr="00B14B48">
        <w:rPr>
          <w:i/>
          <w:iCs/>
          <w:sz w:val="22"/>
          <w:szCs w:val="22"/>
          <w:lang w:eastAsia="en-GB"/>
        </w:rPr>
        <w:lastRenderedPageBreak/>
        <w:t>of State must...</w:t>
      </w:r>
      <w:r w:rsidR="00B14B48" w:rsidRPr="00B14B48">
        <w:rPr>
          <w:i/>
          <w:iCs/>
          <w:sz w:val="22"/>
          <w:szCs w:val="22"/>
          <w:lang w:eastAsia="en-GB"/>
        </w:rPr>
        <w:t>”</w:t>
      </w:r>
      <w:r w:rsidR="008B3BF1">
        <w:rPr>
          <w:iCs/>
          <w:sz w:val="22"/>
          <w:szCs w:val="22"/>
          <w:lang w:eastAsia="en-GB"/>
        </w:rPr>
        <w:t>).</w:t>
      </w:r>
      <w:r w:rsidR="00275E5C">
        <w:rPr>
          <w:iCs/>
          <w:sz w:val="22"/>
          <w:szCs w:val="22"/>
          <w:lang w:eastAsia="en-GB"/>
        </w:rPr>
        <w:t xml:space="preserve">  The SSHD and SSJ </w:t>
      </w:r>
      <w:r w:rsidR="00863C51">
        <w:rPr>
          <w:iCs/>
          <w:sz w:val="22"/>
          <w:szCs w:val="22"/>
          <w:lang w:eastAsia="en-GB"/>
        </w:rPr>
        <w:t xml:space="preserve">describe this mandatory, blanket scheme as </w:t>
      </w:r>
      <w:r w:rsidR="00863C51" w:rsidRPr="00F76D73">
        <w:rPr>
          <w:i/>
          <w:iCs/>
          <w:sz w:val="22"/>
          <w:szCs w:val="22"/>
          <w:lang w:eastAsia="en-GB"/>
        </w:rPr>
        <w:t>“a rule-based system”</w:t>
      </w:r>
      <w:r w:rsidR="00F76D73">
        <w:rPr>
          <w:iCs/>
          <w:sz w:val="22"/>
          <w:szCs w:val="22"/>
          <w:lang w:eastAsia="en-GB"/>
        </w:rPr>
        <w:t xml:space="preserve"> (</w:t>
      </w:r>
      <w:proofErr w:type="spellStart"/>
      <w:r w:rsidR="00F76D73">
        <w:rPr>
          <w:iCs/>
          <w:sz w:val="22"/>
          <w:szCs w:val="22"/>
          <w:lang w:eastAsia="en-GB"/>
        </w:rPr>
        <w:t>para</w:t>
      </w:r>
      <w:proofErr w:type="spellEnd"/>
      <w:r w:rsidR="00F76D73">
        <w:rPr>
          <w:iCs/>
          <w:sz w:val="22"/>
          <w:szCs w:val="22"/>
          <w:lang w:eastAsia="en-GB"/>
        </w:rPr>
        <w:t xml:space="preserve">. 44 of their Skeleton), which is </w:t>
      </w:r>
      <w:r w:rsidR="00001BA6">
        <w:rPr>
          <w:iCs/>
          <w:sz w:val="22"/>
          <w:szCs w:val="22"/>
          <w:lang w:eastAsia="en-GB"/>
        </w:rPr>
        <w:t xml:space="preserve">essentially a </w:t>
      </w:r>
      <w:r w:rsidR="00F76D73">
        <w:rPr>
          <w:iCs/>
          <w:sz w:val="22"/>
          <w:szCs w:val="22"/>
          <w:lang w:eastAsia="en-GB"/>
        </w:rPr>
        <w:t xml:space="preserve">more attractive </w:t>
      </w:r>
      <w:r w:rsidR="00001BA6">
        <w:rPr>
          <w:iCs/>
          <w:sz w:val="22"/>
          <w:szCs w:val="22"/>
          <w:lang w:eastAsia="en-GB"/>
        </w:rPr>
        <w:t>way of phrasing the same point.</w:t>
      </w:r>
    </w:p>
    <w:p w:rsidR="0058263E" w:rsidRPr="0058263E" w:rsidRDefault="0058263E" w:rsidP="0058263E">
      <w:pPr>
        <w:spacing w:line="360" w:lineRule="auto"/>
        <w:jc w:val="both"/>
        <w:rPr>
          <w:iCs/>
          <w:sz w:val="22"/>
          <w:szCs w:val="22"/>
          <w:lang w:eastAsia="en-GB"/>
        </w:rPr>
      </w:pPr>
    </w:p>
    <w:p w:rsidR="00522163" w:rsidRDefault="006F3010" w:rsidP="00DE560B">
      <w:pPr>
        <w:pStyle w:val="ListParagraph"/>
        <w:numPr>
          <w:ilvl w:val="1"/>
          <w:numId w:val="2"/>
        </w:numPr>
        <w:spacing w:line="360" w:lineRule="auto"/>
        <w:ind w:left="567" w:hanging="567"/>
        <w:jc w:val="both"/>
        <w:rPr>
          <w:iCs/>
          <w:sz w:val="22"/>
          <w:szCs w:val="22"/>
          <w:lang w:eastAsia="en-GB"/>
        </w:rPr>
      </w:pPr>
      <w:r>
        <w:rPr>
          <w:iCs/>
          <w:sz w:val="22"/>
          <w:szCs w:val="22"/>
          <w:lang w:eastAsia="en-GB"/>
        </w:rPr>
        <w:t xml:space="preserve">The SSHD and SSJ submit in their Skeleton Argument that the Learned Judge at first instance fell into error, in that he suggested there are </w:t>
      </w:r>
      <w:r w:rsidR="008D41A1" w:rsidRPr="008D41A1">
        <w:rPr>
          <w:i/>
          <w:iCs/>
          <w:sz w:val="22"/>
          <w:szCs w:val="22"/>
          <w:lang w:eastAsia="en-GB"/>
        </w:rPr>
        <w:t>“no longer any filter arrangements at all”</w:t>
      </w:r>
      <w:r>
        <w:rPr>
          <w:iCs/>
          <w:sz w:val="22"/>
          <w:szCs w:val="22"/>
          <w:lang w:eastAsia="en-GB"/>
        </w:rPr>
        <w:t xml:space="preserve"> concerning disclosure (</w:t>
      </w:r>
      <w:proofErr w:type="spellStart"/>
      <w:r>
        <w:rPr>
          <w:iCs/>
          <w:sz w:val="22"/>
          <w:szCs w:val="22"/>
          <w:lang w:eastAsia="en-GB"/>
        </w:rPr>
        <w:t>para</w:t>
      </w:r>
      <w:proofErr w:type="spellEnd"/>
      <w:r>
        <w:rPr>
          <w:iCs/>
          <w:sz w:val="22"/>
          <w:szCs w:val="22"/>
          <w:lang w:eastAsia="en-GB"/>
        </w:rPr>
        <w:t xml:space="preserve">. 33 of the </w:t>
      </w:r>
      <w:r w:rsidR="008A2376">
        <w:rPr>
          <w:iCs/>
          <w:sz w:val="22"/>
          <w:szCs w:val="22"/>
          <w:lang w:eastAsia="en-GB"/>
        </w:rPr>
        <w:t>j</w:t>
      </w:r>
      <w:r>
        <w:rPr>
          <w:iCs/>
          <w:sz w:val="22"/>
          <w:szCs w:val="22"/>
          <w:lang w:eastAsia="en-GB"/>
        </w:rPr>
        <w:t xml:space="preserve">udgment).  </w:t>
      </w:r>
      <w:r w:rsidR="008A2376">
        <w:rPr>
          <w:iCs/>
          <w:sz w:val="22"/>
          <w:szCs w:val="22"/>
          <w:lang w:eastAsia="en-GB"/>
        </w:rPr>
        <w:t xml:space="preserve">They submit that </w:t>
      </w:r>
      <w:r w:rsidR="008D41A1" w:rsidRPr="008D41A1">
        <w:rPr>
          <w:i/>
          <w:iCs/>
          <w:sz w:val="22"/>
          <w:szCs w:val="22"/>
          <w:lang w:eastAsia="en-GB"/>
        </w:rPr>
        <w:t>“the most trivial offences... are not recorded and will not be disclosed”</w:t>
      </w:r>
      <w:r w:rsidR="008A2376">
        <w:rPr>
          <w:iCs/>
          <w:sz w:val="22"/>
          <w:szCs w:val="22"/>
          <w:lang w:eastAsia="en-GB"/>
        </w:rPr>
        <w:t xml:space="preserve"> (</w:t>
      </w:r>
      <w:proofErr w:type="spellStart"/>
      <w:r w:rsidR="008A2376">
        <w:rPr>
          <w:iCs/>
          <w:sz w:val="22"/>
          <w:szCs w:val="22"/>
          <w:lang w:eastAsia="en-GB"/>
        </w:rPr>
        <w:t>para</w:t>
      </w:r>
      <w:proofErr w:type="spellEnd"/>
      <w:r w:rsidR="008A2376">
        <w:rPr>
          <w:iCs/>
          <w:sz w:val="22"/>
          <w:szCs w:val="22"/>
          <w:lang w:eastAsia="en-GB"/>
        </w:rPr>
        <w:t>. 64(1) of their Skeleton).</w:t>
      </w:r>
      <w:r w:rsidR="00522163">
        <w:rPr>
          <w:iCs/>
          <w:sz w:val="22"/>
          <w:szCs w:val="22"/>
          <w:lang w:eastAsia="en-GB"/>
        </w:rPr>
        <w:t xml:space="preserve">  This does not, however, stand up to scrutiny.  </w:t>
      </w:r>
    </w:p>
    <w:p w:rsidR="0058263E" w:rsidRDefault="0058263E">
      <w:pPr>
        <w:pStyle w:val="ListParagraph"/>
        <w:spacing w:line="360" w:lineRule="auto"/>
        <w:ind w:left="567"/>
        <w:jc w:val="both"/>
        <w:rPr>
          <w:iCs/>
          <w:sz w:val="22"/>
          <w:szCs w:val="22"/>
          <w:lang w:eastAsia="en-GB"/>
        </w:rPr>
      </w:pPr>
    </w:p>
    <w:p w:rsidR="00522163" w:rsidRPr="007820D0" w:rsidRDefault="00522163" w:rsidP="007820D0">
      <w:pPr>
        <w:pStyle w:val="ListParagraph"/>
        <w:numPr>
          <w:ilvl w:val="1"/>
          <w:numId w:val="2"/>
        </w:numPr>
        <w:spacing w:line="360" w:lineRule="auto"/>
        <w:ind w:left="567" w:hanging="567"/>
        <w:jc w:val="both"/>
        <w:rPr>
          <w:iCs/>
          <w:sz w:val="22"/>
          <w:szCs w:val="22"/>
          <w:lang w:eastAsia="en-GB"/>
        </w:rPr>
      </w:pPr>
      <w:r>
        <w:rPr>
          <w:iCs/>
          <w:sz w:val="22"/>
          <w:szCs w:val="22"/>
          <w:lang w:eastAsia="en-GB"/>
        </w:rPr>
        <w:t xml:space="preserve">It is correct that ECRCs do not generally contain details of non-recordable offences.  This is because s. 113B(3)(a) requires ECRCs to contain details of </w:t>
      </w:r>
      <w:r w:rsidR="008D41A1" w:rsidRPr="008D41A1">
        <w:rPr>
          <w:i/>
          <w:iCs/>
          <w:sz w:val="22"/>
          <w:szCs w:val="22"/>
          <w:lang w:eastAsia="en-GB"/>
        </w:rPr>
        <w:t>“every relevant matter relating to the applicant which is recorded in central records,”</w:t>
      </w:r>
      <w:r>
        <w:rPr>
          <w:iCs/>
          <w:sz w:val="22"/>
          <w:szCs w:val="22"/>
          <w:lang w:eastAsia="en-GB"/>
        </w:rPr>
        <w:t xml:space="preserve"> and </w:t>
      </w:r>
      <w:r w:rsidR="008D41A1" w:rsidRPr="008D41A1">
        <w:rPr>
          <w:i/>
          <w:iCs/>
          <w:sz w:val="22"/>
          <w:szCs w:val="22"/>
          <w:lang w:eastAsia="en-GB"/>
        </w:rPr>
        <w:t>“central records”</w:t>
      </w:r>
      <w:r>
        <w:rPr>
          <w:iCs/>
          <w:sz w:val="22"/>
          <w:szCs w:val="22"/>
          <w:lang w:eastAsia="en-GB"/>
        </w:rPr>
        <w:t xml:space="preserve"> are </w:t>
      </w:r>
      <w:r w:rsidR="005A795C">
        <w:rPr>
          <w:iCs/>
          <w:sz w:val="22"/>
          <w:szCs w:val="22"/>
          <w:lang w:eastAsia="en-GB"/>
        </w:rPr>
        <w:t>in turn defined</w:t>
      </w:r>
      <w:r>
        <w:rPr>
          <w:iCs/>
          <w:sz w:val="22"/>
          <w:szCs w:val="22"/>
          <w:lang w:eastAsia="en-GB"/>
        </w:rPr>
        <w:t xml:space="preserve"> in s. 113A(6) as </w:t>
      </w:r>
      <w:r w:rsidR="008D41A1" w:rsidRPr="008D41A1">
        <w:rPr>
          <w:i/>
          <w:iCs/>
          <w:sz w:val="22"/>
          <w:szCs w:val="22"/>
          <w:lang w:eastAsia="en-GB"/>
        </w:rPr>
        <w:t>“such records of convictions and cautions held for the use of police forces generally as may be prescribed”.</w:t>
      </w:r>
      <w:r>
        <w:rPr>
          <w:iCs/>
          <w:sz w:val="22"/>
          <w:szCs w:val="22"/>
          <w:lang w:eastAsia="en-GB"/>
        </w:rPr>
        <w:t xml:space="preserve">  The prescribed record in question is the </w:t>
      </w:r>
      <w:r w:rsidR="009821E7">
        <w:rPr>
          <w:iCs/>
          <w:sz w:val="22"/>
          <w:szCs w:val="22"/>
          <w:lang w:eastAsia="en-GB"/>
        </w:rPr>
        <w:t>PNC</w:t>
      </w:r>
      <w:r>
        <w:rPr>
          <w:iCs/>
          <w:sz w:val="22"/>
          <w:szCs w:val="22"/>
          <w:lang w:eastAsia="en-GB"/>
        </w:rPr>
        <w:t>: Police Act 1997 (Criminal Records) Regulations 2002, SI 2002/233, Reg. 9.</w:t>
      </w:r>
      <w:r w:rsidR="009821E7">
        <w:rPr>
          <w:iCs/>
          <w:sz w:val="22"/>
          <w:szCs w:val="22"/>
          <w:lang w:eastAsia="en-GB"/>
        </w:rPr>
        <w:t xml:space="preserve">  The PNC contains details of all recordable offences.  </w:t>
      </w:r>
      <w:r w:rsidR="007820D0">
        <w:rPr>
          <w:iCs/>
          <w:sz w:val="22"/>
          <w:szCs w:val="22"/>
          <w:lang w:eastAsia="en-GB"/>
        </w:rPr>
        <w:t>It does not generally contain details of n</w:t>
      </w:r>
      <w:r w:rsidR="009821E7">
        <w:rPr>
          <w:iCs/>
          <w:sz w:val="22"/>
          <w:szCs w:val="22"/>
          <w:lang w:eastAsia="en-GB"/>
        </w:rPr>
        <w:t>on-recordable offences,</w:t>
      </w:r>
      <w:r w:rsidR="007820D0">
        <w:rPr>
          <w:iCs/>
          <w:sz w:val="22"/>
          <w:szCs w:val="22"/>
          <w:lang w:eastAsia="en-GB"/>
        </w:rPr>
        <w:t xml:space="preserve"> where the details are held by another body, such as, for example, </w:t>
      </w:r>
      <w:r w:rsidR="008D41A1" w:rsidRPr="008D41A1">
        <w:rPr>
          <w:i/>
          <w:iCs/>
          <w:sz w:val="22"/>
          <w:szCs w:val="22"/>
          <w:lang w:eastAsia="en-GB"/>
        </w:rPr>
        <w:t>“non-recordable motoring offences, such as speeding, held by the DVLA”</w:t>
      </w:r>
      <w:r w:rsidR="007820D0">
        <w:rPr>
          <w:iCs/>
          <w:sz w:val="22"/>
          <w:szCs w:val="22"/>
          <w:lang w:eastAsia="en-GB"/>
        </w:rPr>
        <w:t xml:space="preserve"> (</w:t>
      </w:r>
      <w:proofErr w:type="spellStart"/>
      <w:r w:rsidR="007820D0">
        <w:rPr>
          <w:iCs/>
          <w:sz w:val="22"/>
          <w:szCs w:val="22"/>
          <w:lang w:eastAsia="en-GB"/>
        </w:rPr>
        <w:t>Sunita</w:t>
      </w:r>
      <w:proofErr w:type="spellEnd"/>
      <w:r w:rsidR="007820D0">
        <w:rPr>
          <w:iCs/>
          <w:sz w:val="22"/>
          <w:szCs w:val="22"/>
          <w:lang w:eastAsia="en-GB"/>
        </w:rPr>
        <w:t xml:space="preserve"> Mason, Phase</w:t>
      </w:r>
      <w:r w:rsidR="008D41A1" w:rsidRPr="008D41A1">
        <w:rPr>
          <w:iCs/>
          <w:sz w:val="22"/>
          <w:szCs w:val="22"/>
          <w:lang w:eastAsia="en-GB"/>
        </w:rPr>
        <w:t xml:space="preserve"> </w:t>
      </w:r>
      <w:r w:rsidR="007820D0">
        <w:rPr>
          <w:iCs/>
          <w:sz w:val="22"/>
          <w:szCs w:val="22"/>
          <w:lang w:eastAsia="en-GB"/>
        </w:rPr>
        <w:t xml:space="preserve">2, p. 15).  However, as Mrs. Mason points out at p. 16:  </w:t>
      </w:r>
    </w:p>
    <w:p w:rsidR="0058263E" w:rsidRDefault="0058263E">
      <w:pPr>
        <w:pStyle w:val="ListParagraph"/>
        <w:ind w:left="567" w:right="1134"/>
        <w:jc w:val="both"/>
        <w:rPr>
          <w:i/>
          <w:iCs/>
          <w:sz w:val="22"/>
          <w:szCs w:val="22"/>
          <w:lang w:eastAsia="en-GB"/>
        </w:rPr>
      </w:pPr>
    </w:p>
    <w:p w:rsidR="0058263E" w:rsidRDefault="008D41A1">
      <w:pPr>
        <w:ind w:left="1701" w:right="1134" w:firstLine="720"/>
        <w:jc w:val="both"/>
        <w:rPr>
          <w:i/>
          <w:iCs/>
          <w:sz w:val="22"/>
          <w:szCs w:val="22"/>
          <w:lang w:eastAsia="en-GB"/>
        </w:rPr>
      </w:pPr>
      <w:r w:rsidRPr="008D41A1">
        <w:rPr>
          <w:i/>
          <w:iCs/>
          <w:sz w:val="22"/>
          <w:szCs w:val="22"/>
          <w:lang w:eastAsia="en-GB"/>
        </w:rPr>
        <w:t>“There are also occasions when a non-recordable offence is recorded on the PNC, for example when it is associated with a conviction for a recordable offence, such as being convicted of driving without insurance at the same time as being convicted of drink driving.”</w:t>
      </w:r>
    </w:p>
    <w:p w:rsidR="0058263E" w:rsidRDefault="0058263E">
      <w:pPr>
        <w:pStyle w:val="ListParagraph"/>
        <w:spacing w:line="360" w:lineRule="auto"/>
        <w:ind w:left="567"/>
        <w:jc w:val="both"/>
        <w:rPr>
          <w:iCs/>
          <w:sz w:val="22"/>
          <w:szCs w:val="22"/>
          <w:lang w:eastAsia="en-GB"/>
        </w:rPr>
      </w:pPr>
    </w:p>
    <w:p w:rsidR="0058263E" w:rsidRDefault="007820D0">
      <w:pPr>
        <w:pStyle w:val="ListParagraph"/>
        <w:numPr>
          <w:ilvl w:val="1"/>
          <w:numId w:val="2"/>
        </w:numPr>
        <w:spacing w:line="360" w:lineRule="auto"/>
        <w:ind w:left="567" w:hanging="567"/>
        <w:jc w:val="both"/>
        <w:rPr>
          <w:iCs/>
          <w:sz w:val="22"/>
          <w:szCs w:val="22"/>
          <w:lang w:eastAsia="en-GB"/>
        </w:rPr>
      </w:pPr>
      <w:r>
        <w:rPr>
          <w:iCs/>
          <w:sz w:val="22"/>
          <w:szCs w:val="22"/>
          <w:lang w:eastAsia="en-GB"/>
        </w:rPr>
        <w:t xml:space="preserve">The SSHD and SSJ Skeleton </w:t>
      </w:r>
      <w:r w:rsidR="001E36C6">
        <w:rPr>
          <w:iCs/>
          <w:sz w:val="22"/>
          <w:szCs w:val="22"/>
          <w:lang w:eastAsia="en-GB"/>
        </w:rPr>
        <w:t>on a number of occasions equates</w:t>
      </w:r>
      <w:r>
        <w:rPr>
          <w:iCs/>
          <w:sz w:val="22"/>
          <w:szCs w:val="22"/>
          <w:lang w:eastAsia="en-GB"/>
        </w:rPr>
        <w:t xml:space="preserve"> non-recordable offences with minor or </w:t>
      </w:r>
      <w:r w:rsidR="008D41A1" w:rsidRPr="008D41A1">
        <w:rPr>
          <w:i/>
          <w:iCs/>
          <w:sz w:val="22"/>
          <w:szCs w:val="22"/>
          <w:lang w:eastAsia="en-GB"/>
        </w:rPr>
        <w:t>“the most trivial”</w:t>
      </w:r>
      <w:r>
        <w:rPr>
          <w:iCs/>
          <w:sz w:val="22"/>
          <w:szCs w:val="22"/>
          <w:lang w:eastAsia="en-GB"/>
        </w:rPr>
        <w:t xml:space="preserve"> offences (</w:t>
      </w:r>
      <w:proofErr w:type="spellStart"/>
      <w:r>
        <w:rPr>
          <w:iCs/>
          <w:sz w:val="22"/>
          <w:szCs w:val="22"/>
          <w:lang w:eastAsia="en-GB"/>
        </w:rPr>
        <w:t>paras</w:t>
      </w:r>
      <w:proofErr w:type="spellEnd"/>
      <w:r>
        <w:rPr>
          <w:iCs/>
          <w:sz w:val="22"/>
          <w:szCs w:val="22"/>
          <w:lang w:eastAsia="en-GB"/>
        </w:rPr>
        <w:t>. 9 and 64)</w:t>
      </w:r>
      <w:r w:rsidR="00440DEC">
        <w:rPr>
          <w:iCs/>
          <w:sz w:val="22"/>
          <w:szCs w:val="22"/>
          <w:lang w:eastAsia="en-GB"/>
        </w:rPr>
        <w:t>, and by implication recordable offences are necessarily considered more serious</w:t>
      </w:r>
      <w:r>
        <w:rPr>
          <w:iCs/>
          <w:sz w:val="22"/>
          <w:szCs w:val="22"/>
          <w:lang w:eastAsia="en-GB"/>
        </w:rPr>
        <w:t xml:space="preserve">.  The Commission does not </w:t>
      </w:r>
      <w:r w:rsidR="001E36C6">
        <w:rPr>
          <w:iCs/>
          <w:sz w:val="22"/>
          <w:szCs w:val="22"/>
          <w:lang w:eastAsia="en-GB"/>
        </w:rPr>
        <w:t>accept</w:t>
      </w:r>
      <w:r w:rsidR="00440DEC">
        <w:rPr>
          <w:iCs/>
          <w:sz w:val="22"/>
          <w:szCs w:val="22"/>
          <w:lang w:eastAsia="en-GB"/>
        </w:rPr>
        <w:t xml:space="preserve"> this as a general characterisation.  Recordable offences are those which are </w:t>
      </w:r>
      <w:proofErr w:type="spellStart"/>
      <w:r w:rsidR="00440DEC">
        <w:rPr>
          <w:iCs/>
          <w:sz w:val="22"/>
          <w:szCs w:val="22"/>
          <w:lang w:eastAsia="en-GB"/>
        </w:rPr>
        <w:t>imprisonable</w:t>
      </w:r>
      <w:proofErr w:type="spellEnd"/>
      <w:r w:rsidR="00440DEC">
        <w:rPr>
          <w:iCs/>
          <w:sz w:val="22"/>
          <w:szCs w:val="22"/>
          <w:lang w:eastAsia="en-GB"/>
        </w:rPr>
        <w:t xml:space="preserve">, </w:t>
      </w:r>
    </w:p>
    <w:p w:rsidR="0058263E" w:rsidRDefault="0058263E">
      <w:pPr>
        <w:pStyle w:val="ListParagraph"/>
        <w:ind w:left="1701" w:right="1134"/>
        <w:jc w:val="both"/>
        <w:rPr>
          <w:i/>
          <w:iCs/>
          <w:sz w:val="22"/>
          <w:szCs w:val="22"/>
          <w:lang w:eastAsia="en-GB"/>
        </w:rPr>
      </w:pPr>
    </w:p>
    <w:p w:rsidR="0058263E" w:rsidRDefault="008D41A1">
      <w:pPr>
        <w:ind w:left="1701" w:right="1134" w:firstLine="720"/>
        <w:jc w:val="both"/>
        <w:rPr>
          <w:iCs/>
          <w:sz w:val="22"/>
          <w:szCs w:val="22"/>
          <w:lang w:eastAsia="en-GB"/>
        </w:rPr>
      </w:pPr>
      <w:r w:rsidRPr="008D41A1">
        <w:rPr>
          <w:i/>
          <w:iCs/>
          <w:sz w:val="22"/>
          <w:szCs w:val="22"/>
          <w:lang w:eastAsia="en-GB"/>
        </w:rPr>
        <w:t>“plus a  sub-set of non-</w:t>
      </w:r>
      <w:proofErr w:type="spellStart"/>
      <w:r w:rsidRPr="008D41A1">
        <w:rPr>
          <w:i/>
          <w:iCs/>
          <w:sz w:val="22"/>
          <w:szCs w:val="22"/>
          <w:lang w:eastAsia="en-GB"/>
        </w:rPr>
        <w:t>imprisonable</w:t>
      </w:r>
      <w:proofErr w:type="spellEnd"/>
      <w:r w:rsidRPr="008D41A1">
        <w:rPr>
          <w:i/>
          <w:iCs/>
          <w:sz w:val="22"/>
          <w:szCs w:val="22"/>
          <w:lang w:eastAsia="en-GB"/>
        </w:rPr>
        <w:t xml:space="preserve"> offences that have been designated as recordable under regulations (i.e. statutory instruments under policing legislation).  This additional set of specified offences has grown over time and is now substantial” </w:t>
      </w:r>
      <w:r w:rsidRPr="008D41A1">
        <w:rPr>
          <w:iCs/>
          <w:sz w:val="22"/>
          <w:szCs w:val="22"/>
          <w:lang w:eastAsia="en-GB"/>
        </w:rPr>
        <w:t>(</w:t>
      </w:r>
      <w:proofErr w:type="spellStart"/>
      <w:r w:rsidRPr="008D41A1">
        <w:rPr>
          <w:iCs/>
          <w:sz w:val="22"/>
          <w:szCs w:val="22"/>
          <w:lang w:eastAsia="en-GB"/>
        </w:rPr>
        <w:t>Sunita</w:t>
      </w:r>
      <w:proofErr w:type="spellEnd"/>
      <w:r w:rsidRPr="008D41A1">
        <w:rPr>
          <w:iCs/>
          <w:sz w:val="22"/>
          <w:szCs w:val="22"/>
          <w:lang w:eastAsia="en-GB"/>
        </w:rPr>
        <w:t xml:space="preserve"> Mason, Phase 2, at p. 16).</w:t>
      </w:r>
    </w:p>
    <w:p w:rsidR="0058263E" w:rsidRDefault="0058263E">
      <w:pPr>
        <w:spacing w:line="360" w:lineRule="auto"/>
        <w:jc w:val="both"/>
        <w:rPr>
          <w:iCs/>
          <w:sz w:val="22"/>
          <w:szCs w:val="22"/>
          <w:lang w:eastAsia="en-GB"/>
        </w:rPr>
      </w:pPr>
    </w:p>
    <w:p w:rsidR="0058263E" w:rsidRDefault="00A36FFB">
      <w:pPr>
        <w:spacing w:line="360" w:lineRule="auto"/>
        <w:ind w:left="567" w:hanging="567"/>
        <w:jc w:val="both"/>
        <w:rPr>
          <w:iCs/>
          <w:sz w:val="22"/>
          <w:szCs w:val="22"/>
          <w:lang w:eastAsia="en-GB"/>
        </w:rPr>
      </w:pPr>
      <w:r>
        <w:rPr>
          <w:iCs/>
          <w:sz w:val="22"/>
          <w:szCs w:val="22"/>
          <w:lang w:eastAsia="en-GB"/>
        </w:rPr>
        <w:t>3.7</w:t>
      </w:r>
      <w:r>
        <w:rPr>
          <w:iCs/>
          <w:sz w:val="22"/>
          <w:szCs w:val="22"/>
          <w:lang w:eastAsia="en-GB"/>
        </w:rPr>
        <w:tab/>
      </w:r>
      <w:r w:rsidR="00440DEC">
        <w:rPr>
          <w:iCs/>
          <w:sz w:val="22"/>
          <w:szCs w:val="22"/>
          <w:lang w:eastAsia="en-GB"/>
        </w:rPr>
        <w:t xml:space="preserve">Mrs. Mason notes that the dividing line between recordable and non-recordable offences is not based upon public protection.  She provides contrasting examples of certain non-recordable </w:t>
      </w:r>
      <w:r w:rsidR="00440DEC">
        <w:rPr>
          <w:iCs/>
          <w:sz w:val="22"/>
          <w:szCs w:val="22"/>
          <w:lang w:eastAsia="en-GB"/>
        </w:rPr>
        <w:lastRenderedPageBreak/>
        <w:t xml:space="preserve">offences, and certain recordable offences.  The non-recordable offences </w:t>
      </w:r>
      <w:r>
        <w:rPr>
          <w:iCs/>
          <w:sz w:val="22"/>
          <w:szCs w:val="22"/>
          <w:lang w:eastAsia="en-GB"/>
        </w:rPr>
        <w:t xml:space="preserve">she lists </w:t>
      </w:r>
      <w:r w:rsidR="00440DEC">
        <w:rPr>
          <w:iCs/>
          <w:sz w:val="22"/>
          <w:szCs w:val="22"/>
          <w:lang w:eastAsia="en-GB"/>
        </w:rPr>
        <w:t>include</w:t>
      </w:r>
      <w:r>
        <w:rPr>
          <w:iCs/>
          <w:sz w:val="22"/>
          <w:szCs w:val="22"/>
          <w:lang w:eastAsia="en-GB"/>
        </w:rPr>
        <w:t xml:space="preserve"> driving without insurance (p. 16), </w:t>
      </w:r>
      <w:r w:rsidR="00440DEC">
        <w:rPr>
          <w:iCs/>
          <w:sz w:val="22"/>
          <w:szCs w:val="22"/>
          <w:lang w:eastAsia="en-GB"/>
        </w:rPr>
        <w:t>reproducing British currency notes</w:t>
      </w:r>
      <w:r>
        <w:rPr>
          <w:iCs/>
          <w:sz w:val="22"/>
          <w:szCs w:val="22"/>
          <w:lang w:eastAsia="en-GB"/>
        </w:rPr>
        <w:t xml:space="preserve"> (p. 16)</w:t>
      </w:r>
      <w:r w:rsidR="00440DEC">
        <w:rPr>
          <w:iCs/>
          <w:sz w:val="22"/>
          <w:szCs w:val="22"/>
          <w:lang w:eastAsia="en-GB"/>
        </w:rPr>
        <w:t>,</w:t>
      </w:r>
      <w:r>
        <w:rPr>
          <w:iCs/>
          <w:sz w:val="22"/>
          <w:szCs w:val="22"/>
          <w:lang w:eastAsia="en-GB"/>
        </w:rPr>
        <w:t xml:space="preserve"> </w:t>
      </w:r>
      <w:r w:rsidR="008D41A1" w:rsidRPr="008D41A1">
        <w:rPr>
          <w:i/>
          <w:iCs/>
          <w:sz w:val="22"/>
          <w:szCs w:val="22"/>
          <w:lang w:eastAsia="en-GB"/>
        </w:rPr>
        <w:t>“[stealing] personal data and [selling] this for profit”</w:t>
      </w:r>
      <w:r>
        <w:rPr>
          <w:iCs/>
          <w:sz w:val="22"/>
          <w:szCs w:val="22"/>
          <w:lang w:eastAsia="en-GB"/>
        </w:rPr>
        <w:t xml:space="preserve"> (p. 17, referring to the Data Protection Act 1998, s. 55), and causing unnecessary suffering to animals (p. 18, referring to the Animal Welfare Act 2006, s. 4).  In contrast, the recordable offences she lists include taking a pedal cycle without consent (Theft Act 1968, s. 12).     </w:t>
      </w:r>
    </w:p>
    <w:p w:rsidR="0058263E" w:rsidRDefault="0058263E">
      <w:pPr>
        <w:pStyle w:val="ListParagraph"/>
        <w:spacing w:line="360" w:lineRule="auto"/>
        <w:ind w:left="567"/>
        <w:jc w:val="both"/>
        <w:rPr>
          <w:iCs/>
          <w:sz w:val="22"/>
          <w:szCs w:val="22"/>
          <w:lang w:eastAsia="en-GB"/>
        </w:rPr>
      </w:pPr>
    </w:p>
    <w:p w:rsidR="007E6C89" w:rsidRPr="0058263E" w:rsidRDefault="0058263E" w:rsidP="0058263E">
      <w:pPr>
        <w:spacing w:line="360" w:lineRule="auto"/>
        <w:ind w:left="567" w:hanging="567"/>
        <w:jc w:val="both"/>
        <w:rPr>
          <w:iCs/>
          <w:sz w:val="22"/>
          <w:szCs w:val="22"/>
          <w:lang w:eastAsia="en-GB"/>
        </w:rPr>
      </w:pPr>
      <w:r>
        <w:rPr>
          <w:iCs/>
          <w:sz w:val="22"/>
          <w:szCs w:val="22"/>
          <w:lang w:eastAsia="en-GB"/>
        </w:rPr>
        <w:t>3.8</w:t>
      </w:r>
      <w:r>
        <w:rPr>
          <w:iCs/>
          <w:sz w:val="22"/>
          <w:szCs w:val="22"/>
          <w:lang w:eastAsia="en-GB"/>
        </w:rPr>
        <w:tab/>
      </w:r>
      <w:r w:rsidR="007E6C89" w:rsidRPr="0058263E">
        <w:rPr>
          <w:iCs/>
          <w:sz w:val="22"/>
          <w:szCs w:val="22"/>
          <w:lang w:eastAsia="en-GB"/>
        </w:rPr>
        <w:t xml:space="preserve">The scheme concerning disclosure of information from central records was not previously being operated in this blanket, automatic way – hence the Appellant in 2008 securing agreement from the police to ‘step down’ the warnings.  This step down procedure is understood to have halted as a result of the October 2009 ruling of the Court of Appeal in </w:t>
      </w:r>
      <w:r w:rsidR="008D41A1" w:rsidRPr="0058263E">
        <w:rPr>
          <w:i/>
          <w:iCs/>
          <w:sz w:val="22"/>
          <w:szCs w:val="22"/>
          <w:lang w:eastAsia="en-GB"/>
        </w:rPr>
        <w:t>Chief Constable of Humberside v. Information Commissioner</w:t>
      </w:r>
      <w:r w:rsidR="007E6C89" w:rsidRPr="0058263E">
        <w:rPr>
          <w:iCs/>
          <w:sz w:val="22"/>
          <w:szCs w:val="22"/>
          <w:lang w:eastAsia="en-GB"/>
        </w:rPr>
        <w:t xml:space="preserve"> [2010] 1 WLR 1136.  </w:t>
      </w:r>
    </w:p>
    <w:p w:rsidR="0058263E" w:rsidRDefault="0058263E">
      <w:pPr>
        <w:pStyle w:val="ListParagraph"/>
        <w:spacing w:line="360" w:lineRule="auto"/>
        <w:ind w:left="567"/>
        <w:jc w:val="both"/>
        <w:rPr>
          <w:iCs/>
          <w:sz w:val="22"/>
          <w:szCs w:val="22"/>
          <w:lang w:eastAsia="en-GB"/>
        </w:rPr>
      </w:pPr>
    </w:p>
    <w:p w:rsidR="006F3010" w:rsidRPr="0058263E" w:rsidRDefault="0058263E" w:rsidP="0058263E">
      <w:pPr>
        <w:spacing w:line="360" w:lineRule="auto"/>
        <w:ind w:left="567" w:hanging="567"/>
        <w:jc w:val="both"/>
        <w:rPr>
          <w:iCs/>
          <w:sz w:val="22"/>
          <w:szCs w:val="22"/>
          <w:lang w:eastAsia="en-GB"/>
        </w:rPr>
      </w:pPr>
      <w:r>
        <w:rPr>
          <w:iCs/>
          <w:sz w:val="22"/>
          <w:szCs w:val="22"/>
          <w:lang w:eastAsia="en-GB"/>
        </w:rPr>
        <w:t>3.9</w:t>
      </w:r>
      <w:r>
        <w:rPr>
          <w:iCs/>
          <w:sz w:val="22"/>
          <w:szCs w:val="22"/>
          <w:lang w:eastAsia="en-GB"/>
        </w:rPr>
        <w:tab/>
      </w:r>
      <w:r w:rsidR="006F3010" w:rsidRPr="0058263E">
        <w:rPr>
          <w:iCs/>
          <w:sz w:val="22"/>
          <w:szCs w:val="22"/>
          <w:lang w:eastAsia="en-GB"/>
        </w:rPr>
        <w:t xml:space="preserve">Another feature of the statutory scheme which is of note is that the SSHD is empowered to amend the statutory definition of </w:t>
      </w:r>
      <w:r w:rsidR="006F3010" w:rsidRPr="0058263E">
        <w:rPr>
          <w:i/>
          <w:iCs/>
          <w:sz w:val="22"/>
          <w:szCs w:val="22"/>
          <w:lang w:eastAsia="en-GB"/>
        </w:rPr>
        <w:t>“every relevant matter”</w:t>
      </w:r>
      <w:r w:rsidR="006F3010" w:rsidRPr="0058263E">
        <w:rPr>
          <w:iCs/>
          <w:sz w:val="22"/>
          <w:szCs w:val="22"/>
          <w:lang w:eastAsia="en-GB"/>
        </w:rPr>
        <w:t xml:space="preserve"> and </w:t>
      </w:r>
      <w:r w:rsidR="008D41A1" w:rsidRPr="0058263E">
        <w:rPr>
          <w:i/>
          <w:iCs/>
          <w:sz w:val="22"/>
          <w:szCs w:val="22"/>
          <w:lang w:eastAsia="en-GB"/>
        </w:rPr>
        <w:t>“central records”</w:t>
      </w:r>
      <w:r w:rsidR="006F3010" w:rsidRPr="0058263E">
        <w:rPr>
          <w:iCs/>
          <w:sz w:val="22"/>
          <w:szCs w:val="22"/>
          <w:lang w:eastAsia="en-GB"/>
        </w:rPr>
        <w:t xml:space="preserve"> by Order laid before Parliament under the affirmative resolution procedure (s. 113A(7) and (8)).</w:t>
      </w:r>
    </w:p>
    <w:p w:rsidR="004568F4" w:rsidRPr="004568F4" w:rsidRDefault="004568F4" w:rsidP="004568F4">
      <w:pPr>
        <w:spacing w:line="360" w:lineRule="auto"/>
        <w:jc w:val="both"/>
        <w:rPr>
          <w:iCs/>
          <w:sz w:val="22"/>
          <w:szCs w:val="22"/>
          <w:lang w:eastAsia="en-GB"/>
        </w:rPr>
      </w:pPr>
    </w:p>
    <w:p w:rsidR="006B35E5" w:rsidRDefault="00F76D73" w:rsidP="00F76D73">
      <w:pPr>
        <w:spacing w:line="360" w:lineRule="auto"/>
        <w:ind w:left="567" w:hanging="567"/>
        <w:jc w:val="both"/>
        <w:rPr>
          <w:b/>
          <w:iCs/>
          <w:sz w:val="22"/>
          <w:szCs w:val="22"/>
          <w:lang w:eastAsia="en-GB"/>
        </w:rPr>
      </w:pPr>
      <w:r w:rsidRPr="004568F4">
        <w:rPr>
          <w:b/>
          <w:iCs/>
          <w:sz w:val="22"/>
          <w:szCs w:val="22"/>
          <w:lang w:eastAsia="en-GB"/>
        </w:rPr>
        <w:t>4.</w:t>
      </w:r>
      <w:r w:rsidRPr="004568F4">
        <w:rPr>
          <w:b/>
          <w:iCs/>
          <w:sz w:val="22"/>
          <w:szCs w:val="22"/>
          <w:lang w:eastAsia="en-GB"/>
        </w:rPr>
        <w:tab/>
      </w:r>
      <w:r w:rsidR="00BC18C6">
        <w:rPr>
          <w:b/>
          <w:iCs/>
          <w:sz w:val="22"/>
          <w:szCs w:val="22"/>
          <w:lang w:eastAsia="en-GB"/>
        </w:rPr>
        <w:t>INCOMPATIBILITY OF THE 1997 ACT WITH ARTIC</w:t>
      </w:r>
      <w:r w:rsidR="004C015A">
        <w:rPr>
          <w:b/>
          <w:iCs/>
          <w:sz w:val="22"/>
          <w:szCs w:val="22"/>
          <w:lang w:eastAsia="en-GB"/>
        </w:rPr>
        <w:t>L</w:t>
      </w:r>
      <w:r w:rsidR="00BC18C6">
        <w:rPr>
          <w:b/>
          <w:iCs/>
          <w:sz w:val="22"/>
          <w:szCs w:val="22"/>
          <w:lang w:eastAsia="en-GB"/>
        </w:rPr>
        <w:t>E 8</w:t>
      </w:r>
    </w:p>
    <w:p w:rsidR="006B35E5" w:rsidRPr="004568F4" w:rsidRDefault="006B35E5" w:rsidP="00F76D73">
      <w:pPr>
        <w:spacing w:line="360" w:lineRule="auto"/>
        <w:ind w:left="567" w:hanging="567"/>
        <w:jc w:val="both"/>
        <w:rPr>
          <w:b/>
          <w:iCs/>
          <w:sz w:val="22"/>
          <w:szCs w:val="22"/>
          <w:lang w:eastAsia="en-GB"/>
        </w:rPr>
      </w:pPr>
    </w:p>
    <w:p w:rsidR="00BC18C6" w:rsidRDefault="008D41A1" w:rsidP="00FB05D4">
      <w:pPr>
        <w:spacing w:line="360" w:lineRule="auto"/>
        <w:ind w:left="567" w:hanging="567"/>
        <w:jc w:val="both"/>
        <w:rPr>
          <w:iCs/>
          <w:sz w:val="22"/>
          <w:szCs w:val="22"/>
          <w:lang w:eastAsia="en-GB"/>
        </w:rPr>
      </w:pPr>
      <w:r w:rsidRPr="008D41A1">
        <w:rPr>
          <w:iCs/>
          <w:sz w:val="22"/>
          <w:szCs w:val="22"/>
          <w:lang w:eastAsia="en-GB"/>
        </w:rPr>
        <w:t>4.1</w:t>
      </w:r>
      <w:r w:rsidRPr="008D41A1">
        <w:rPr>
          <w:iCs/>
          <w:sz w:val="22"/>
          <w:szCs w:val="22"/>
          <w:lang w:eastAsia="en-GB"/>
        </w:rPr>
        <w:tab/>
      </w:r>
      <w:r w:rsidR="00BC18C6">
        <w:rPr>
          <w:iCs/>
          <w:sz w:val="22"/>
          <w:szCs w:val="22"/>
          <w:lang w:eastAsia="en-GB"/>
        </w:rPr>
        <w:t>In summary, the Commission submits that:</w:t>
      </w:r>
    </w:p>
    <w:p w:rsidR="0058263E" w:rsidRDefault="0058263E">
      <w:pPr>
        <w:spacing w:line="360" w:lineRule="auto"/>
        <w:ind w:left="1440" w:hanging="870"/>
        <w:jc w:val="both"/>
        <w:rPr>
          <w:iCs/>
          <w:sz w:val="22"/>
          <w:szCs w:val="22"/>
          <w:lang w:eastAsia="en-GB"/>
        </w:rPr>
      </w:pPr>
    </w:p>
    <w:p w:rsidR="0058263E" w:rsidRDefault="00BC18C6">
      <w:pPr>
        <w:spacing w:line="360" w:lineRule="auto"/>
        <w:ind w:left="1440" w:hanging="870"/>
        <w:jc w:val="both"/>
        <w:rPr>
          <w:iCs/>
          <w:sz w:val="22"/>
          <w:szCs w:val="22"/>
          <w:lang w:eastAsia="en-GB"/>
        </w:rPr>
      </w:pPr>
      <w:r>
        <w:rPr>
          <w:iCs/>
          <w:sz w:val="22"/>
          <w:szCs w:val="22"/>
          <w:lang w:eastAsia="en-GB"/>
        </w:rPr>
        <w:t xml:space="preserve">(a) </w:t>
      </w:r>
      <w:r w:rsidR="00326A96">
        <w:rPr>
          <w:iCs/>
          <w:sz w:val="22"/>
          <w:szCs w:val="22"/>
          <w:lang w:eastAsia="en-GB"/>
        </w:rPr>
        <w:tab/>
      </w:r>
      <w:r w:rsidR="008D41A1" w:rsidRPr="008D41A1">
        <w:rPr>
          <w:iCs/>
          <w:sz w:val="22"/>
          <w:szCs w:val="22"/>
          <w:u w:val="single"/>
          <w:lang w:eastAsia="en-GB"/>
        </w:rPr>
        <w:t>Article 8(1)</w:t>
      </w:r>
      <w:r w:rsidR="00360567" w:rsidRPr="00360567">
        <w:rPr>
          <w:iCs/>
          <w:sz w:val="22"/>
          <w:szCs w:val="22"/>
          <w:lang w:eastAsia="en-GB"/>
        </w:rPr>
        <w:t>:</w:t>
      </w:r>
      <w:r w:rsidR="00360567">
        <w:rPr>
          <w:iCs/>
          <w:sz w:val="22"/>
          <w:szCs w:val="22"/>
          <w:lang w:eastAsia="en-GB"/>
        </w:rPr>
        <w:t xml:space="preserve"> </w:t>
      </w:r>
      <w:r>
        <w:rPr>
          <w:iCs/>
          <w:sz w:val="22"/>
          <w:szCs w:val="22"/>
          <w:lang w:eastAsia="en-GB"/>
        </w:rPr>
        <w:t>The requirement</w:t>
      </w:r>
      <w:r w:rsidR="00326A96">
        <w:rPr>
          <w:iCs/>
          <w:sz w:val="22"/>
          <w:szCs w:val="22"/>
          <w:lang w:eastAsia="en-GB"/>
        </w:rPr>
        <w:t xml:space="preserve"> in s. 113B of the 1997 Act</w:t>
      </w:r>
      <w:r>
        <w:rPr>
          <w:iCs/>
          <w:sz w:val="22"/>
          <w:szCs w:val="22"/>
          <w:lang w:eastAsia="en-GB"/>
        </w:rPr>
        <w:t xml:space="preserve"> </w:t>
      </w:r>
      <w:r w:rsidR="00326A96">
        <w:rPr>
          <w:iCs/>
          <w:sz w:val="22"/>
          <w:szCs w:val="22"/>
          <w:lang w:eastAsia="en-GB"/>
        </w:rPr>
        <w:t>that all convictions and non-conviction disposals be automatically disclosed on an ECRC necessarily constitutes an interference with Article 8(1) ECHR;</w:t>
      </w:r>
    </w:p>
    <w:p w:rsidR="00326A96" w:rsidRDefault="00326A96" w:rsidP="00FB05D4">
      <w:pPr>
        <w:spacing w:line="360" w:lineRule="auto"/>
        <w:ind w:left="567" w:hanging="567"/>
        <w:jc w:val="both"/>
        <w:rPr>
          <w:iCs/>
          <w:sz w:val="22"/>
          <w:szCs w:val="22"/>
          <w:lang w:eastAsia="en-GB"/>
        </w:rPr>
      </w:pPr>
    </w:p>
    <w:p w:rsidR="0058263E" w:rsidRDefault="00326A96">
      <w:pPr>
        <w:spacing w:line="360" w:lineRule="auto"/>
        <w:ind w:left="1440" w:hanging="870"/>
        <w:jc w:val="both"/>
        <w:rPr>
          <w:iCs/>
          <w:sz w:val="22"/>
          <w:szCs w:val="22"/>
          <w:lang w:eastAsia="en-GB"/>
        </w:rPr>
      </w:pPr>
      <w:r>
        <w:rPr>
          <w:iCs/>
          <w:sz w:val="22"/>
          <w:szCs w:val="22"/>
          <w:lang w:eastAsia="en-GB"/>
        </w:rPr>
        <w:t>(b)</w:t>
      </w:r>
      <w:r>
        <w:rPr>
          <w:iCs/>
          <w:sz w:val="22"/>
          <w:szCs w:val="22"/>
          <w:lang w:eastAsia="en-GB"/>
        </w:rPr>
        <w:tab/>
      </w:r>
      <w:r w:rsidR="008D41A1" w:rsidRPr="008D41A1">
        <w:rPr>
          <w:iCs/>
          <w:sz w:val="22"/>
          <w:szCs w:val="22"/>
          <w:u w:val="single"/>
          <w:lang w:eastAsia="en-GB"/>
        </w:rPr>
        <w:t>Article 8(2)</w:t>
      </w:r>
      <w:r w:rsidR="00360567">
        <w:rPr>
          <w:iCs/>
          <w:sz w:val="22"/>
          <w:szCs w:val="22"/>
          <w:lang w:eastAsia="en-GB"/>
        </w:rPr>
        <w:t xml:space="preserve">: </w:t>
      </w:r>
      <w:r>
        <w:rPr>
          <w:iCs/>
          <w:sz w:val="22"/>
          <w:szCs w:val="22"/>
          <w:lang w:eastAsia="en-GB"/>
        </w:rPr>
        <w:t>The blanket, general, indiscriminate nature of this requirement is not ‘necessary in a democratic society’ as required by Article 8(2), as it fails to satisfy the strict requirements of proportionality and is not the least restrictive means of achieving the legitimate objective of protecting vulnerable adults and children;</w:t>
      </w:r>
    </w:p>
    <w:p w:rsidR="0058263E" w:rsidRDefault="0058263E">
      <w:pPr>
        <w:spacing w:line="360" w:lineRule="auto"/>
        <w:ind w:left="1440" w:hanging="870"/>
        <w:jc w:val="both"/>
        <w:rPr>
          <w:iCs/>
          <w:sz w:val="22"/>
          <w:szCs w:val="22"/>
          <w:lang w:eastAsia="en-GB"/>
        </w:rPr>
      </w:pPr>
    </w:p>
    <w:p w:rsidR="0058263E" w:rsidRDefault="00326A96">
      <w:pPr>
        <w:spacing w:line="360" w:lineRule="auto"/>
        <w:ind w:left="1440" w:hanging="870"/>
        <w:jc w:val="both"/>
        <w:rPr>
          <w:iCs/>
          <w:sz w:val="22"/>
          <w:szCs w:val="22"/>
          <w:lang w:eastAsia="en-GB"/>
        </w:rPr>
      </w:pPr>
      <w:r>
        <w:rPr>
          <w:iCs/>
          <w:sz w:val="22"/>
          <w:szCs w:val="22"/>
          <w:lang w:eastAsia="en-GB"/>
        </w:rPr>
        <w:t>(c)</w:t>
      </w:r>
      <w:r>
        <w:rPr>
          <w:iCs/>
          <w:sz w:val="22"/>
          <w:szCs w:val="22"/>
          <w:lang w:eastAsia="en-GB"/>
        </w:rPr>
        <w:tab/>
      </w:r>
      <w:r w:rsidR="008D41A1" w:rsidRPr="008D41A1">
        <w:rPr>
          <w:iCs/>
          <w:sz w:val="22"/>
          <w:szCs w:val="22"/>
          <w:u w:val="single"/>
          <w:lang w:eastAsia="en-GB"/>
        </w:rPr>
        <w:t xml:space="preserve">The </w:t>
      </w:r>
      <w:r w:rsidR="00360567" w:rsidRPr="00360567">
        <w:rPr>
          <w:iCs/>
          <w:sz w:val="22"/>
          <w:szCs w:val="22"/>
          <w:u w:val="single"/>
          <w:lang w:eastAsia="en-GB"/>
        </w:rPr>
        <w:t xml:space="preserve">Supreme Court’s ruling in </w:t>
      </w:r>
      <w:r w:rsidR="008D41A1" w:rsidRPr="008D41A1">
        <w:rPr>
          <w:i/>
          <w:iCs/>
          <w:sz w:val="22"/>
          <w:szCs w:val="22"/>
          <w:u w:val="single"/>
          <w:lang w:eastAsia="en-GB"/>
        </w:rPr>
        <w:t>L</w:t>
      </w:r>
      <w:r w:rsidR="00360567">
        <w:rPr>
          <w:iCs/>
          <w:sz w:val="22"/>
          <w:szCs w:val="22"/>
          <w:lang w:eastAsia="en-GB"/>
        </w:rPr>
        <w:t xml:space="preserve">: </w:t>
      </w:r>
      <w:r>
        <w:rPr>
          <w:iCs/>
          <w:sz w:val="22"/>
          <w:szCs w:val="22"/>
          <w:lang w:eastAsia="en-GB"/>
        </w:rPr>
        <w:t>The</w:t>
      </w:r>
      <w:r w:rsidR="0058263E">
        <w:rPr>
          <w:iCs/>
          <w:sz w:val="22"/>
          <w:szCs w:val="22"/>
          <w:lang w:eastAsia="en-GB"/>
        </w:rPr>
        <w:t xml:space="preserve"> Commission agrees with the Appellant that the</w:t>
      </w:r>
      <w:r>
        <w:rPr>
          <w:iCs/>
          <w:sz w:val="22"/>
          <w:szCs w:val="22"/>
          <w:lang w:eastAsia="en-GB"/>
        </w:rPr>
        <w:t xml:space="preserve"> </w:t>
      </w:r>
      <w:r w:rsidR="008D41A1" w:rsidRPr="008D41A1">
        <w:rPr>
          <w:i/>
          <w:iCs/>
          <w:sz w:val="22"/>
          <w:szCs w:val="22"/>
          <w:lang w:eastAsia="en-GB"/>
        </w:rPr>
        <w:t>L</w:t>
      </w:r>
      <w:r>
        <w:rPr>
          <w:iCs/>
          <w:sz w:val="22"/>
          <w:szCs w:val="22"/>
          <w:lang w:eastAsia="en-GB"/>
        </w:rPr>
        <w:t xml:space="preserve"> case</w:t>
      </w:r>
      <w:r w:rsidR="003D4333">
        <w:rPr>
          <w:iCs/>
          <w:sz w:val="22"/>
          <w:szCs w:val="22"/>
          <w:lang w:eastAsia="en-GB"/>
        </w:rPr>
        <w:t xml:space="preserve"> does not prevent the Court of Appeal finding that </w:t>
      </w:r>
      <w:r w:rsidR="00360567">
        <w:rPr>
          <w:iCs/>
          <w:sz w:val="22"/>
          <w:szCs w:val="22"/>
          <w:lang w:eastAsia="en-GB"/>
        </w:rPr>
        <w:t>this aspect of the 1997 Act violates Article 8.</w:t>
      </w:r>
    </w:p>
    <w:p w:rsidR="003D4333" w:rsidRDefault="003D4333" w:rsidP="00FB05D4">
      <w:pPr>
        <w:spacing w:line="360" w:lineRule="auto"/>
        <w:ind w:left="567" w:hanging="567"/>
        <w:jc w:val="both"/>
        <w:rPr>
          <w:iCs/>
          <w:sz w:val="22"/>
          <w:szCs w:val="22"/>
          <w:lang w:eastAsia="en-GB"/>
        </w:rPr>
      </w:pPr>
    </w:p>
    <w:p w:rsidR="00BC18C6" w:rsidRPr="004568F4" w:rsidRDefault="00BC18C6" w:rsidP="00BC18C6">
      <w:pPr>
        <w:spacing w:line="360" w:lineRule="auto"/>
        <w:ind w:firstLine="567"/>
        <w:rPr>
          <w:b/>
          <w:i/>
          <w:iCs/>
          <w:sz w:val="22"/>
          <w:szCs w:val="22"/>
          <w:lang w:eastAsia="en-GB"/>
        </w:rPr>
      </w:pPr>
      <w:r w:rsidRPr="004568F4">
        <w:rPr>
          <w:b/>
          <w:i/>
          <w:iCs/>
          <w:sz w:val="22"/>
          <w:szCs w:val="22"/>
          <w:lang w:eastAsia="en-GB"/>
        </w:rPr>
        <w:lastRenderedPageBreak/>
        <w:t>Article 8(1)</w:t>
      </w:r>
    </w:p>
    <w:p w:rsidR="000A5E17" w:rsidRDefault="00360567" w:rsidP="000A5E17">
      <w:pPr>
        <w:spacing w:line="360" w:lineRule="auto"/>
        <w:ind w:left="567" w:hanging="567"/>
        <w:jc w:val="both"/>
        <w:rPr>
          <w:iCs/>
          <w:sz w:val="22"/>
          <w:szCs w:val="22"/>
          <w:lang w:eastAsia="en-GB"/>
        </w:rPr>
      </w:pPr>
      <w:r>
        <w:rPr>
          <w:iCs/>
          <w:sz w:val="22"/>
          <w:szCs w:val="22"/>
          <w:lang w:eastAsia="en-GB"/>
        </w:rPr>
        <w:t>4.2</w:t>
      </w:r>
      <w:r>
        <w:rPr>
          <w:iCs/>
          <w:sz w:val="22"/>
          <w:szCs w:val="22"/>
          <w:lang w:eastAsia="en-GB"/>
        </w:rPr>
        <w:tab/>
      </w:r>
      <w:r w:rsidR="000A5E17">
        <w:rPr>
          <w:iCs/>
          <w:sz w:val="22"/>
          <w:szCs w:val="22"/>
          <w:lang w:eastAsia="en-GB"/>
        </w:rPr>
        <w:t xml:space="preserve">The scheme under the 1997 Act involves the automatic, blanket disclosure of all convictions or non-conviction disposals recorded on the PNC, regardless of whether they have any relevance whatsoever to public protection, the circumstances of the conduct or the disposal itself, the passage of time, the age of the individual, seriousness, </w:t>
      </w:r>
      <w:r w:rsidR="00260812">
        <w:rPr>
          <w:iCs/>
          <w:sz w:val="22"/>
          <w:szCs w:val="22"/>
          <w:lang w:eastAsia="en-GB"/>
        </w:rPr>
        <w:t xml:space="preserve">whether they are spent or unspent, </w:t>
      </w:r>
      <w:r w:rsidR="000A5E17">
        <w:rPr>
          <w:iCs/>
          <w:sz w:val="22"/>
          <w:szCs w:val="22"/>
          <w:lang w:eastAsia="en-GB"/>
        </w:rPr>
        <w:t xml:space="preserve">or any other factors.  The SSHD and SSJ summarise the operation of this scheme in their Skeleton, at </w:t>
      </w:r>
      <w:proofErr w:type="spellStart"/>
      <w:r w:rsidR="000A5E17">
        <w:rPr>
          <w:iCs/>
          <w:sz w:val="22"/>
          <w:szCs w:val="22"/>
          <w:lang w:eastAsia="en-GB"/>
        </w:rPr>
        <w:t>para</w:t>
      </w:r>
      <w:proofErr w:type="spellEnd"/>
      <w:r w:rsidR="000A5E17">
        <w:rPr>
          <w:iCs/>
          <w:sz w:val="22"/>
          <w:szCs w:val="22"/>
          <w:lang w:eastAsia="en-GB"/>
        </w:rPr>
        <w:t>. 16:</w:t>
      </w:r>
    </w:p>
    <w:p w:rsidR="000A5E17" w:rsidRPr="00706AD0" w:rsidRDefault="000A5E17" w:rsidP="000A5E17">
      <w:pPr>
        <w:ind w:left="567" w:right="1134" w:hanging="567"/>
        <w:jc w:val="both"/>
        <w:rPr>
          <w:i/>
          <w:iCs/>
          <w:sz w:val="22"/>
          <w:szCs w:val="22"/>
          <w:lang w:eastAsia="en-GB"/>
        </w:rPr>
      </w:pPr>
    </w:p>
    <w:p w:rsidR="000A5E17" w:rsidRDefault="000A5E17" w:rsidP="000A5E17">
      <w:pPr>
        <w:ind w:left="1440" w:right="1134"/>
        <w:jc w:val="both"/>
        <w:rPr>
          <w:iCs/>
          <w:sz w:val="22"/>
          <w:szCs w:val="22"/>
          <w:lang w:eastAsia="en-GB"/>
        </w:rPr>
      </w:pPr>
      <w:r w:rsidRPr="00706AD0">
        <w:rPr>
          <w:i/>
          <w:iCs/>
          <w:sz w:val="22"/>
          <w:szCs w:val="22"/>
          <w:lang w:eastAsia="en-GB"/>
        </w:rPr>
        <w:t>“The CRB’s processes are primarily automated – involving the interrogation by the CRB’s computer system of the PNC, the Independent Safeguarding Authority’s database and a database of local police information.  But where a potential match is generated, a manual check of the identity of the applicant as against the record matched is carried out (by the CRB, the ISA or the local police force in question).  Once identity is confirmed, CRB processes do not assess the relevance of information or otherwise seek to distinguish between records held on the PNC.”</w:t>
      </w:r>
    </w:p>
    <w:p w:rsidR="000A5E17" w:rsidRDefault="000A5E17" w:rsidP="00360567">
      <w:pPr>
        <w:spacing w:line="360" w:lineRule="auto"/>
        <w:ind w:left="567" w:hanging="567"/>
        <w:jc w:val="both"/>
        <w:rPr>
          <w:iCs/>
          <w:sz w:val="22"/>
          <w:szCs w:val="22"/>
          <w:lang w:eastAsia="en-GB"/>
        </w:rPr>
      </w:pPr>
    </w:p>
    <w:p w:rsidR="00FB05D4" w:rsidRPr="004568F4" w:rsidRDefault="000A5E17" w:rsidP="0058263E">
      <w:pPr>
        <w:spacing w:line="360" w:lineRule="auto"/>
        <w:ind w:left="567" w:hanging="567"/>
        <w:jc w:val="both"/>
        <w:rPr>
          <w:iCs/>
          <w:sz w:val="22"/>
          <w:szCs w:val="22"/>
          <w:lang w:eastAsia="en-GB"/>
        </w:rPr>
      </w:pPr>
      <w:r>
        <w:rPr>
          <w:iCs/>
          <w:sz w:val="22"/>
          <w:szCs w:val="22"/>
          <w:lang w:eastAsia="en-GB"/>
        </w:rPr>
        <w:t>4.3</w:t>
      </w:r>
      <w:r>
        <w:rPr>
          <w:iCs/>
          <w:sz w:val="22"/>
          <w:szCs w:val="22"/>
          <w:lang w:eastAsia="en-GB"/>
        </w:rPr>
        <w:tab/>
      </w:r>
      <w:r w:rsidR="008D41A1" w:rsidRPr="008D41A1">
        <w:rPr>
          <w:iCs/>
          <w:sz w:val="22"/>
          <w:szCs w:val="22"/>
          <w:lang w:eastAsia="en-GB"/>
        </w:rPr>
        <w:t>At first instance even the</w:t>
      </w:r>
      <w:r w:rsidR="008D41A1">
        <w:rPr>
          <w:iCs/>
          <w:sz w:val="22"/>
          <w:szCs w:val="22"/>
          <w:lang w:eastAsia="en-GB"/>
        </w:rPr>
        <w:t xml:space="preserve"> applicability of Article 8(1) was disputed by the First and Second Respondents.  They disputed whether there was any interference with the Appellant’s right to private life.  This position is maintained in the</w:t>
      </w:r>
      <w:r w:rsidR="004C015A">
        <w:rPr>
          <w:iCs/>
          <w:sz w:val="22"/>
          <w:szCs w:val="22"/>
          <w:lang w:eastAsia="en-GB"/>
        </w:rPr>
        <w:t>ir</w:t>
      </w:r>
      <w:r w:rsidR="00701A72" w:rsidRPr="004568F4">
        <w:rPr>
          <w:iCs/>
          <w:sz w:val="22"/>
          <w:szCs w:val="22"/>
          <w:lang w:eastAsia="en-GB"/>
        </w:rPr>
        <w:t xml:space="preserve"> Skel</w:t>
      </w:r>
      <w:r w:rsidR="00701A72" w:rsidRPr="00BC18C6">
        <w:rPr>
          <w:iCs/>
          <w:sz w:val="22"/>
          <w:szCs w:val="22"/>
          <w:lang w:eastAsia="en-GB"/>
        </w:rPr>
        <w:t>eton Arguments before th</w:t>
      </w:r>
      <w:r w:rsidR="00701A72" w:rsidRPr="004568F4">
        <w:rPr>
          <w:iCs/>
          <w:sz w:val="22"/>
          <w:szCs w:val="22"/>
          <w:lang w:eastAsia="en-GB"/>
        </w:rPr>
        <w:t>e Court of Appeal.</w:t>
      </w:r>
      <w:r w:rsidR="00FB05D4" w:rsidRPr="004568F4">
        <w:rPr>
          <w:iCs/>
          <w:sz w:val="22"/>
          <w:szCs w:val="22"/>
          <w:lang w:eastAsia="en-GB"/>
        </w:rPr>
        <w:t xml:space="preserve">  The Commission </w:t>
      </w:r>
      <w:r w:rsidR="004C015A">
        <w:rPr>
          <w:iCs/>
          <w:sz w:val="22"/>
          <w:szCs w:val="22"/>
          <w:lang w:eastAsia="en-GB"/>
        </w:rPr>
        <w:t>submits that the ECRC scheme under the 1997 Act plainly constitutes an interference with Article 8(1)</w:t>
      </w:r>
      <w:r w:rsidR="00701A72" w:rsidRPr="004568F4">
        <w:rPr>
          <w:iCs/>
          <w:sz w:val="22"/>
          <w:szCs w:val="22"/>
          <w:lang w:eastAsia="en-GB"/>
        </w:rPr>
        <w:t>.</w:t>
      </w:r>
    </w:p>
    <w:p w:rsidR="00360567" w:rsidRDefault="00706AD0" w:rsidP="00FB05D4">
      <w:pPr>
        <w:spacing w:line="360" w:lineRule="auto"/>
        <w:ind w:left="567" w:hanging="567"/>
        <w:jc w:val="both"/>
        <w:rPr>
          <w:iCs/>
          <w:sz w:val="22"/>
          <w:szCs w:val="22"/>
          <w:lang w:eastAsia="en-GB"/>
        </w:rPr>
      </w:pPr>
      <w:r>
        <w:rPr>
          <w:iCs/>
          <w:sz w:val="22"/>
          <w:szCs w:val="22"/>
          <w:lang w:eastAsia="en-GB"/>
        </w:rPr>
        <w:t xml:space="preserve">      </w:t>
      </w:r>
    </w:p>
    <w:p w:rsidR="00E12AC4" w:rsidRDefault="001F29F3" w:rsidP="00FB05D4">
      <w:pPr>
        <w:spacing w:line="360" w:lineRule="auto"/>
        <w:ind w:left="567" w:hanging="567"/>
        <w:jc w:val="both"/>
        <w:rPr>
          <w:iCs/>
          <w:sz w:val="22"/>
          <w:szCs w:val="22"/>
          <w:lang w:eastAsia="en-GB"/>
        </w:rPr>
      </w:pPr>
      <w:r>
        <w:rPr>
          <w:iCs/>
          <w:sz w:val="22"/>
          <w:szCs w:val="22"/>
          <w:lang w:eastAsia="en-GB"/>
        </w:rPr>
        <w:t>4.</w:t>
      </w:r>
      <w:r w:rsidR="003524ED">
        <w:rPr>
          <w:iCs/>
          <w:sz w:val="22"/>
          <w:szCs w:val="22"/>
          <w:lang w:eastAsia="en-GB"/>
        </w:rPr>
        <w:t>4</w:t>
      </w:r>
      <w:r w:rsidR="003524ED">
        <w:rPr>
          <w:iCs/>
          <w:sz w:val="22"/>
          <w:szCs w:val="22"/>
          <w:lang w:eastAsia="en-GB"/>
        </w:rPr>
        <w:tab/>
        <w:t>The European Court of Human Rights (‘</w:t>
      </w:r>
      <w:proofErr w:type="spellStart"/>
      <w:r w:rsidR="003524ED">
        <w:rPr>
          <w:iCs/>
          <w:sz w:val="22"/>
          <w:szCs w:val="22"/>
          <w:lang w:eastAsia="en-GB"/>
        </w:rPr>
        <w:t>ECtHR</w:t>
      </w:r>
      <w:proofErr w:type="spellEnd"/>
      <w:r w:rsidR="003524ED">
        <w:rPr>
          <w:iCs/>
          <w:sz w:val="22"/>
          <w:szCs w:val="22"/>
          <w:lang w:eastAsia="en-GB"/>
        </w:rPr>
        <w:t xml:space="preserve">’) has consistently held that it is neither possible nor necessary to attempt an exhaustive definition of the notion of ‘private life’ in Article 8(1), but the concept should be construed broadly: </w:t>
      </w:r>
      <w:proofErr w:type="spellStart"/>
      <w:r w:rsidR="008D41A1" w:rsidRPr="008D41A1">
        <w:rPr>
          <w:i/>
          <w:iCs/>
          <w:sz w:val="22"/>
          <w:szCs w:val="22"/>
          <w:lang w:eastAsia="en-GB"/>
        </w:rPr>
        <w:t>Niemitz</w:t>
      </w:r>
      <w:proofErr w:type="spellEnd"/>
      <w:r w:rsidR="008D41A1" w:rsidRPr="008D41A1">
        <w:rPr>
          <w:i/>
          <w:iCs/>
          <w:sz w:val="22"/>
          <w:szCs w:val="22"/>
          <w:lang w:eastAsia="en-GB"/>
        </w:rPr>
        <w:t xml:space="preserve"> v. Germany</w:t>
      </w:r>
      <w:r w:rsidR="003524ED">
        <w:rPr>
          <w:i/>
          <w:iCs/>
          <w:sz w:val="22"/>
          <w:szCs w:val="22"/>
          <w:lang w:eastAsia="en-GB"/>
        </w:rPr>
        <w:t xml:space="preserve"> </w:t>
      </w:r>
      <w:r w:rsidR="003524ED">
        <w:rPr>
          <w:iCs/>
          <w:sz w:val="22"/>
          <w:szCs w:val="22"/>
          <w:lang w:eastAsia="en-GB"/>
        </w:rPr>
        <w:t xml:space="preserve">(1993) 16 EHRR 97, </w:t>
      </w:r>
      <w:proofErr w:type="spellStart"/>
      <w:r w:rsidR="003524ED">
        <w:rPr>
          <w:iCs/>
          <w:sz w:val="22"/>
          <w:szCs w:val="22"/>
          <w:lang w:eastAsia="en-GB"/>
        </w:rPr>
        <w:t>para</w:t>
      </w:r>
      <w:proofErr w:type="spellEnd"/>
      <w:r w:rsidR="003524ED">
        <w:rPr>
          <w:iCs/>
          <w:sz w:val="22"/>
          <w:szCs w:val="22"/>
          <w:lang w:eastAsia="en-GB"/>
        </w:rPr>
        <w:t xml:space="preserve">. 29; </w:t>
      </w:r>
      <w:r w:rsidR="008D41A1" w:rsidRPr="008D41A1">
        <w:rPr>
          <w:i/>
          <w:iCs/>
          <w:sz w:val="22"/>
          <w:szCs w:val="22"/>
          <w:lang w:eastAsia="en-GB"/>
        </w:rPr>
        <w:t>Halford v. UK</w:t>
      </w:r>
      <w:r w:rsidR="003524ED">
        <w:rPr>
          <w:iCs/>
          <w:sz w:val="22"/>
          <w:szCs w:val="22"/>
          <w:lang w:eastAsia="en-GB"/>
        </w:rPr>
        <w:t xml:space="preserve"> (1997) 24 EHRR 52</w:t>
      </w:r>
      <w:r w:rsidR="00E12AC4">
        <w:rPr>
          <w:iCs/>
          <w:sz w:val="22"/>
          <w:szCs w:val="22"/>
          <w:lang w:eastAsia="en-GB"/>
        </w:rPr>
        <w:t xml:space="preserve">; </w:t>
      </w:r>
      <w:r w:rsidR="008D41A1" w:rsidRPr="008D41A1">
        <w:rPr>
          <w:i/>
          <w:iCs/>
          <w:sz w:val="22"/>
          <w:szCs w:val="22"/>
          <w:lang w:eastAsia="en-GB"/>
        </w:rPr>
        <w:t xml:space="preserve">S and </w:t>
      </w:r>
      <w:proofErr w:type="spellStart"/>
      <w:r w:rsidR="008D41A1" w:rsidRPr="008D41A1">
        <w:rPr>
          <w:i/>
          <w:iCs/>
          <w:sz w:val="22"/>
          <w:szCs w:val="22"/>
          <w:lang w:eastAsia="en-GB"/>
        </w:rPr>
        <w:t>Marper</w:t>
      </w:r>
      <w:proofErr w:type="spellEnd"/>
      <w:r w:rsidR="008D41A1" w:rsidRPr="008D41A1">
        <w:rPr>
          <w:i/>
          <w:iCs/>
          <w:sz w:val="22"/>
          <w:szCs w:val="22"/>
          <w:lang w:eastAsia="en-GB"/>
        </w:rPr>
        <w:t xml:space="preserve"> v. UK</w:t>
      </w:r>
      <w:r w:rsidR="00E12AC4">
        <w:rPr>
          <w:iCs/>
          <w:sz w:val="22"/>
          <w:szCs w:val="22"/>
          <w:lang w:eastAsia="en-GB"/>
        </w:rPr>
        <w:t xml:space="preserve"> (2008) 48 EHRR 1169, </w:t>
      </w:r>
      <w:proofErr w:type="spellStart"/>
      <w:r w:rsidR="00E12AC4">
        <w:rPr>
          <w:iCs/>
          <w:sz w:val="22"/>
          <w:szCs w:val="22"/>
          <w:lang w:eastAsia="en-GB"/>
        </w:rPr>
        <w:t>para</w:t>
      </w:r>
      <w:proofErr w:type="spellEnd"/>
      <w:r w:rsidR="00E12AC4">
        <w:rPr>
          <w:iCs/>
          <w:sz w:val="22"/>
          <w:szCs w:val="22"/>
          <w:lang w:eastAsia="en-GB"/>
        </w:rPr>
        <w:t xml:space="preserve">. 66 (Grand Chamber).  In </w:t>
      </w:r>
      <w:r w:rsidR="008D41A1" w:rsidRPr="008D41A1">
        <w:rPr>
          <w:i/>
          <w:iCs/>
          <w:sz w:val="22"/>
          <w:szCs w:val="22"/>
          <w:lang w:eastAsia="en-GB"/>
        </w:rPr>
        <w:t xml:space="preserve">S and </w:t>
      </w:r>
      <w:proofErr w:type="spellStart"/>
      <w:r w:rsidR="008D41A1" w:rsidRPr="008D41A1">
        <w:rPr>
          <w:i/>
          <w:iCs/>
          <w:sz w:val="22"/>
          <w:szCs w:val="22"/>
          <w:lang w:eastAsia="en-GB"/>
        </w:rPr>
        <w:t>Marper</w:t>
      </w:r>
      <w:proofErr w:type="spellEnd"/>
      <w:r w:rsidR="00E12AC4">
        <w:rPr>
          <w:iCs/>
          <w:sz w:val="22"/>
          <w:szCs w:val="22"/>
          <w:lang w:eastAsia="en-GB"/>
        </w:rPr>
        <w:t xml:space="preserve"> the Grand Chamber stated (at </w:t>
      </w:r>
      <w:proofErr w:type="spellStart"/>
      <w:r w:rsidR="00E12AC4">
        <w:rPr>
          <w:iCs/>
          <w:sz w:val="22"/>
          <w:szCs w:val="22"/>
          <w:lang w:eastAsia="en-GB"/>
        </w:rPr>
        <w:t>para</w:t>
      </w:r>
      <w:proofErr w:type="spellEnd"/>
      <w:r w:rsidR="00E12AC4">
        <w:rPr>
          <w:iCs/>
          <w:sz w:val="22"/>
          <w:szCs w:val="22"/>
          <w:lang w:eastAsia="en-GB"/>
        </w:rPr>
        <w:t>. 66):</w:t>
      </w:r>
    </w:p>
    <w:p w:rsidR="0058263E" w:rsidRDefault="0058263E">
      <w:pPr>
        <w:ind w:left="567" w:right="1134" w:hanging="567"/>
        <w:jc w:val="both"/>
        <w:rPr>
          <w:i/>
          <w:iCs/>
          <w:sz w:val="22"/>
          <w:szCs w:val="22"/>
          <w:lang w:eastAsia="en-GB"/>
        </w:rPr>
      </w:pPr>
    </w:p>
    <w:p w:rsidR="0058263E" w:rsidRDefault="008D41A1">
      <w:pPr>
        <w:ind w:left="1440" w:right="1134"/>
        <w:jc w:val="both"/>
        <w:rPr>
          <w:i/>
          <w:iCs/>
          <w:sz w:val="22"/>
          <w:szCs w:val="22"/>
        </w:rPr>
      </w:pPr>
      <w:r w:rsidRPr="008D41A1">
        <w:rPr>
          <w:i/>
          <w:iCs/>
          <w:sz w:val="22"/>
          <w:szCs w:val="22"/>
          <w:lang w:eastAsia="en-GB"/>
        </w:rPr>
        <w:t>“</w:t>
      </w:r>
      <w:r w:rsidRPr="008D41A1">
        <w:rPr>
          <w:rStyle w:val="sb8d990e2"/>
          <w:i/>
          <w:sz w:val="22"/>
          <w:szCs w:val="22"/>
        </w:rPr>
        <w:t>The Court recalls that the concept of “private life” is a broad term not susceptible to exhaustive definition. It covers the physical and psychological integrity of a person</w:t>
      </w:r>
      <w:bookmarkStart w:id="0" w:name="File1"/>
      <w:bookmarkEnd w:id="0"/>
      <w:r w:rsidRPr="008D41A1">
        <w:rPr>
          <w:rStyle w:val="sb8d990e2"/>
          <w:i/>
          <w:sz w:val="22"/>
          <w:szCs w:val="22"/>
        </w:rPr>
        <w:t xml:space="preserve">... It can therefore embrace multiple aspects of the person's physical and social identity... Beyond a person's name, his or her private and family life may include other means of personal identification and of linking to a family... Article 8 protects in addition a right to personal development, and the right to establish and develop relationships with other human beings and the outside world...” </w:t>
      </w:r>
      <w:bookmarkStart w:id="1" w:name="File8"/>
      <w:bookmarkEnd w:id="1"/>
    </w:p>
    <w:p w:rsidR="00E12AC4" w:rsidRDefault="00E12AC4" w:rsidP="00FB05D4">
      <w:pPr>
        <w:spacing w:line="360" w:lineRule="auto"/>
        <w:ind w:left="567" w:hanging="567"/>
        <w:jc w:val="both"/>
        <w:rPr>
          <w:iCs/>
          <w:sz w:val="22"/>
          <w:szCs w:val="22"/>
          <w:lang w:eastAsia="en-GB"/>
        </w:rPr>
      </w:pPr>
      <w:r>
        <w:rPr>
          <w:iCs/>
          <w:sz w:val="22"/>
          <w:szCs w:val="22"/>
          <w:lang w:eastAsia="en-GB"/>
        </w:rPr>
        <w:t xml:space="preserve">  </w:t>
      </w:r>
    </w:p>
    <w:p w:rsidR="0058263E" w:rsidRDefault="00E12AC4">
      <w:pPr>
        <w:spacing w:line="360" w:lineRule="auto"/>
        <w:ind w:left="720" w:hanging="720"/>
        <w:jc w:val="both"/>
        <w:rPr>
          <w:iCs/>
          <w:sz w:val="22"/>
          <w:szCs w:val="22"/>
          <w:lang w:eastAsia="en-GB"/>
        </w:rPr>
      </w:pPr>
      <w:r>
        <w:rPr>
          <w:iCs/>
          <w:sz w:val="22"/>
          <w:szCs w:val="22"/>
          <w:lang w:eastAsia="en-GB"/>
        </w:rPr>
        <w:t>4.5</w:t>
      </w:r>
      <w:r>
        <w:rPr>
          <w:iCs/>
          <w:sz w:val="22"/>
          <w:szCs w:val="22"/>
          <w:lang w:eastAsia="en-GB"/>
        </w:rPr>
        <w:tab/>
      </w:r>
      <w:r w:rsidR="00A6769A">
        <w:rPr>
          <w:iCs/>
          <w:sz w:val="22"/>
          <w:szCs w:val="22"/>
          <w:lang w:eastAsia="en-GB"/>
        </w:rPr>
        <w:t xml:space="preserve">The </w:t>
      </w:r>
      <w:proofErr w:type="spellStart"/>
      <w:r w:rsidR="00A6769A">
        <w:rPr>
          <w:iCs/>
          <w:sz w:val="22"/>
          <w:szCs w:val="22"/>
          <w:lang w:eastAsia="en-GB"/>
        </w:rPr>
        <w:t>ECtHR</w:t>
      </w:r>
      <w:proofErr w:type="spellEnd"/>
      <w:r w:rsidR="00A6769A">
        <w:rPr>
          <w:iCs/>
          <w:sz w:val="22"/>
          <w:szCs w:val="22"/>
          <w:lang w:eastAsia="en-GB"/>
        </w:rPr>
        <w:t xml:space="preserve"> case law on Article 8 has identified a range of different aspects of private life which attract protection, four of which are in play in the present appeal, in the Commiss</w:t>
      </w:r>
      <w:r w:rsidR="000A5E17">
        <w:rPr>
          <w:iCs/>
          <w:sz w:val="22"/>
          <w:szCs w:val="22"/>
          <w:lang w:eastAsia="en-GB"/>
        </w:rPr>
        <w:t xml:space="preserve">ion’s submission </w:t>
      </w:r>
      <w:r w:rsidR="000A5E17">
        <w:rPr>
          <w:iCs/>
          <w:sz w:val="22"/>
          <w:szCs w:val="22"/>
          <w:lang w:eastAsia="en-GB"/>
        </w:rPr>
        <w:lastRenderedPageBreak/>
        <w:t xml:space="preserve">(see below at </w:t>
      </w:r>
      <w:proofErr w:type="spellStart"/>
      <w:r>
        <w:rPr>
          <w:iCs/>
          <w:sz w:val="22"/>
          <w:szCs w:val="22"/>
          <w:lang w:eastAsia="en-GB"/>
        </w:rPr>
        <w:t>para</w:t>
      </w:r>
      <w:proofErr w:type="spellEnd"/>
      <w:r>
        <w:rPr>
          <w:iCs/>
          <w:sz w:val="22"/>
          <w:szCs w:val="22"/>
          <w:lang w:eastAsia="en-GB"/>
        </w:rPr>
        <w:t>. 4.</w:t>
      </w:r>
      <w:r w:rsidR="0058263E">
        <w:rPr>
          <w:iCs/>
          <w:sz w:val="22"/>
          <w:szCs w:val="22"/>
          <w:lang w:eastAsia="en-GB"/>
        </w:rPr>
        <w:t xml:space="preserve">8 et </w:t>
      </w:r>
      <w:proofErr w:type="spellStart"/>
      <w:r w:rsidR="0058263E">
        <w:rPr>
          <w:iCs/>
          <w:sz w:val="22"/>
          <w:szCs w:val="22"/>
          <w:lang w:eastAsia="en-GB"/>
        </w:rPr>
        <w:t>seq</w:t>
      </w:r>
      <w:proofErr w:type="spellEnd"/>
      <w:r w:rsidR="00A6769A">
        <w:rPr>
          <w:iCs/>
          <w:sz w:val="22"/>
          <w:szCs w:val="22"/>
          <w:lang w:eastAsia="en-GB"/>
        </w:rPr>
        <w:t xml:space="preserve">).  However, the underpinning focus in each of these aspects of private life reflects the analysis of Professor Raymond </w:t>
      </w:r>
      <w:proofErr w:type="spellStart"/>
      <w:r w:rsidR="00A6769A">
        <w:rPr>
          <w:iCs/>
          <w:sz w:val="22"/>
          <w:szCs w:val="22"/>
          <w:lang w:eastAsia="en-GB"/>
        </w:rPr>
        <w:t>Wacks</w:t>
      </w:r>
      <w:proofErr w:type="spellEnd"/>
      <w:r w:rsidR="00A6769A">
        <w:rPr>
          <w:iCs/>
          <w:sz w:val="22"/>
          <w:szCs w:val="22"/>
          <w:lang w:eastAsia="en-GB"/>
        </w:rPr>
        <w:t>,</w:t>
      </w:r>
      <w:r w:rsidR="00CC387C">
        <w:rPr>
          <w:iCs/>
          <w:sz w:val="22"/>
          <w:szCs w:val="22"/>
          <w:lang w:eastAsia="en-GB"/>
        </w:rPr>
        <w:t xml:space="preserve">  </w:t>
      </w:r>
    </w:p>
    <w:p w:rsidR="0058263E" w:rsidRDefault="0058263E">
      <w:pPr>
        <w:pStyle w:val="BodyText"/>
        <w:ind w:right="1134"/>
        <w:rPr>
          <w:i/>
          <w:sz w:val="22"/>
          <w:szCs w:val="22"/>
        </w:rPr>
      </w:pPr>
    </w:p>
    <w:p w:rsidR="0058263E" w:rsidRPr="00172BE7" w:rsidRDefault="008D41A1" w:rsidP="00172BE7">
      <w:pPr>
        <w:pStyle w:val="NormalWeb"/>
        <w:spacing w:before="0" w:after="0" w:line="240" w:lineRule="auto"/>
        <w:ind w:left="1440" w:right="1134"/>
        <w:jc w:val="both"/>
        <w:rPr>
          <w:i/>
          <w:sz w:val="22"/>
          <w:szCs w:val="22"/>
        </w:rPr>
      </w:pPr>
      <w:r w:rsidRPr="00172BE7">
        <w:rPr>
          <w:i/>
          <w:sz w:val="22"/>
          <w:szCs w:val="22"/>
        </w:rPr>
        <w:t>“At the heart of the concern to protect “privacy” lies a conception of the individual and his or her relationship with society.”</w:t>
      </w:r>
      <w:r w:rsidRPr="00172BE7">
        <w:rPr>
          <w:rStyle w:val="FootnoteReference"/>
          <w:i/>
          <w:sz w:val="22"/>
          <w:szCs w:val="22"/>
        </w:rPr>
        <w:footnoteReference w:id="2"/>
      </w:r>
    </w:p>
    <w:p w:rsidR="00A6769A" w:rsidRDefault="00A6769A" w:rsidP="00FB05D4">
      <w:pPr>
        <w:spacing w:line="360" w:lineRule="auto"/>
        <w:ind w:left="567" w:hanging="567"/>
        <w:jc w:val="both"/>
        <w:rPr>
          <w:iCs/>
          <w:sz w:val="22"/>
          <w:szCs w:val="22"/>
          <w:lang w:eastAsia="en-GB"/>
        </w:rPr>
      </w:pPr>
    </w:p>
    <w:p w:rsidR="003B13F4" w:rsidRDefault="000150A7" w:rsidP="00C86DE5">
      <w:pPr>
        <w:spacing w:line="360" w:lineRule="auto"/>
        <w:ind w:left="567" w:hanging="567"/>
        <w:jc w:val="both"/>
        <w:rPr>
          <w:iCs/>
          <w:sz w:val="22"/>
          <w:szCs w:val="22"/>
          <w:lang w:eastAsia="en-GB"/>
        </w:rPr>
      </w:pPr>
      <w:r>
        <w:rPr>
          <w:iCs/>
          <w:sz w:val="22"/>
          <w:szCs w:val="22"/>
          <w:lang w:eastAsia="en-GB"/>
        </w:rPr>
        <w:t>4.6</w:t>
      </w:r>
      <w:r w:rsidR="00A6769A">
        <w:rPr>
          <w:iCs/>
          <w:sz w:val="22"/>
          <w:szCs w:val="22"/>
          <w:lang w:eastAsia="en-GB"/>
        </w:rPr>
        <w:tab/>
      </w:r>
      <w:r w:rsidR="003B13F4">
        <w:rPr>
          <w:iCs/>
          <w:sz w:val="22"/>
          <w:szCs w:val="22"/>
          <w:lang w:eastAsia="en-GB"/>
        </w:rPr>
        <w:t xml:space="preserve">Lord Hoffmann in </w:t>
      </w:r>
      <w:proofErr w:type="spellStart"/>
      <w:r w:rsidR="003B13F4">
        <w:rPr>
          <w:iCs/>
          <w:sz w:val="22"/>
          <w:szCs w:val="22"/>
          <w:lang w:eastAsia="en-GB"/>
        </w:rPr>
        <w:t>para</w:t>
      </w:r>
      <w:proofErr w:type="spellEnd"/>
      <w:r w:rsidR="003B13F4">
        <w:rPr>
          <w:iCs/>
          <w:sz w:val="22"/>
          <w:szCs w:val="22"/>
          <w:lang w:eastAsia="en-GB"/>
        </w:rPr>
        <w:t xml:space="preserve">. 51 of </w:t>
      </w:r>
      <w:r w:rsidR="008D41A1" w:rsidRPr="008D41A1">
        <w:rPr>
          <w:i/>
          <w:iCs/>
          <w:sz w:val="22"/>
          <w:szCs w:val="22"/>
          <w:lang w:eastAsia="en-GB"/>
        </w:rPr>
        <w:t>Campbell v. MGN Ltd</w:t>
      </w:r>
      <w:r w:rsidR="003B13F4">
        <w:rPr>
          <w:iCs/>
          <w:sz w:val="22"/>
          <w:szCs w:val="22"/>
          <w:lang w:eastAsia="en-GB"/>
        </w:rPr>
        <w:t xml:space="preserve">. [2004] 2 AC 457 emphasised that, </w:t>
      </w:r>
      <w:r w:rsidR="008D41A1" w:rsidRPr="008D41A1">
        <w:rPr>
          <w:i/>
          <w:iCs/>
          <w:sz w:val="22"/>
          <w:szCs w:val="22"/>
          <w:lang w:eastAsia="en-GB"/>
        </w:rPr>
        <w:t>“the law now focuses upon the protection of human autonomy and dignity – ‘the right to control the dissemination of information about one’s private life and the right to the esteem and respect of other people’.”</w:t>
      </w:r>
      <w:r w:rsidR="003B13F4">
        <w:rPr>
          <w:iCs/>
          <w:sz w:val="22"/>
          <w:szCs w:val="22"/>
          <w:lang w:eastAsia="en-GB"/>
        </w:rPr>
        <w:t xml:space="preserve">  Both Sir Anthony Clarke MR, giving the judgment of the Court in </w:t>
      </w:r>
      <w:r w:rsidR="008D41A1" w:rsidRPr="008D41A1">
        <w:rPr>
          <w:i/>
          <w:iCs/>
          <w:sz w:val="22"/>
          <w:szCs w:val="22"/>
          <w:lang w:eastAsia="en-GB"/>
        </w:rPr>
        <w:t>Murray v. Big Pictures (UK) Ltd.</w:t>
      </w:r>
      <w:r w:rsidR="003B13F4">
        <w:rPr>
          <w:iCs/>
          <w:sz w:val="22"/>
          <w:szCs w:val="22"/>
          <w:lang w:eastAsia="en-GB"/>
        </w:rPr>
        <w:t xml:space="preserve"> [2008] EWCA </w:t>
      </w:r>
      <w:proofErr w:type="spellStart"/>
      <w:r w:rsidR="003B13F4">
        <w:rPr>
          <w:iCs/>
          <w:sz w:val="22"/>
          <w:szCs w:val="22"/>
          <w:lang w:eastAsia="en-GB"/>
        </w:rPr>
        <w:t>Civ</w:t>
      </w:r>
      <w:proofErr w:type="spellEnd"/>
      <w:r w:rsidR="003B13F4">
        <w:rPr>
          <w:iCs/>
          <w:sz w:val="22"/>
          <w:szCs w:val="22"/>
          <w:lang w:eastAsia="en-GB"/>
        </w:rPr>
        <w:t xml:space="preserve"> 446, </w:t>
      </w:r>
      <w:proofErr w:type="spellStart"/>
      <w:r w:rsidR="003B13F4">
        <w:rPr>
          <w:iCs/>
          <w:sz w:val="22"/>
          <w:szCs w:val="22"/>
          <w:lang w:eastAsia="en-GB"/>
        </w:rPr>
        <w:t>para</w:t>
      </w:r>
      <w:proofErr w:type="spellEnd"/>
      <w:r w:rsidR="003B13F4">
        <w:rPr>
          <w:iCs/>
          <w:sz w:val="22"/>
          <w:szCs w:val="22"/>
          <w:lang w:eastAsia="en-GB"/>
        </w:rPr>
        <w:t xml:space="preserve">. 31, and Laws LJ in </w:t>
      </w:r>
      <w:r w:rsidR="008D41A1" w:rsidRPr="008D41A1">
        <w:rPr>
          <w:i/>
          <w:iCs/>
          <w:sz w:val="22"/>
          <w:szCs w:val="22"/>
          <w:lang w:eastAsia="en-GB"/>
        </w:rPr>
        <w:t>Wood v. Commissioner of Police for the Metropolis</w:t>
      </w:r>
      <w:r w:rsidR="003B13F4">
        <w:rPr>
          <w:iCs/>
          <w:sz w:val="22"/>
          <w:szCs w:val="22"/>
          <w:lang w:eastAsia="en-GB"/>
        </w:rPr>
        <w:t xml:space="preserve"> [2010] 1 WLR 123, </w:t>
      </w:r>
      <w:proofErr w:type="spellStart"/>
      <w:r w:rsidR="003B13F4">
        <w:rPr>
          <w:iCs/>
          <w:sz w:val="22"/>
          <w:szCs w:val="22"/>
          <w:lang w:eastAsia="en-GB"/>
        </w:rPr>
        <w:t>paras</w:t>
      </w:r>
      <w:proofErr w:type="spellEnd"/>
      <w:r w:rsidR="003B13F4">
        <w:rPr>
          <w:iCs/>
          <w:sz w:val="22"/>
          <w:szCs w:val="22"/>
          <w:lang w:eastAsia="en-GB"/>
        </w:rPr>
        <w:t xml:space="preserve">. 20 – 21, derived </w:t>
      </w:r>
      <w:r w:rsidR="00C86DE5">
        <w:rPr>
          <w:iCs/>
          <w:sz w:val="22"/>
          <w:szCs w:val="22"/>
          <w:lang w:eastAsia="en-GB"/>
        </w:rPr>
        <w:t xml:space="preserve">considerable </w:t>
      </w:r>
      <w:r w:rsidR="003B13F4">
        <w:rPr>
          <w:iCs/>
          <w:sz w:val="22"/>
          <w:szCs w:val="22"/>
          <w:lang w:eastAsia="en-GB"/>
        </w:rPr>
        <w:t>assistance from Lord Hoffmann’s description.  Laws LJ describes</w:t>
      </w:r>
      <w:r w:rsidR="00C86DE5">
        <w:rPr>
          <w:iCs/>
          <w:sz w:val="22"/>
          <w:szCs w:val="22"/>
          <w:lang w:eastAsia="en-GB"/>
        </w:rPr>
        <w:t xml:space="preserve"> the heart of Article 8(1) as follows (</w:t>
      </w:r>
      <w:proofErr w:type="spellStart"/>
      <w:r w:rsidR="00C86DE5">
        <w:rPr>
          <w:iCs/>
          <w:sz w:val="22"/>
          <w:szCs w:val="22"/>
          <w:lang w:eastAsia="en-GB"/>
        </w:rPr>
        <w:t>paras</w:t>
      </w:r>
      <w:proofErr w:type="spellEnd"/>
      <w:r w:rsidR="00C86DE5">
        <w:rPr>
          <w:iCs/>
          <w:sz w:val="22"/>
          <w:szCs w:val="22"/>
          <w:lang w:eastAsia="en-GB"/>
        </w:rPr>
        <w:t>. 20 – 22):</w:t>
      </w:r>
      <w:r w:rsidR="003B13F4">
        <w:rPr>
          <w:iCs/>
          <w:sz w:val="22"/>
          <w:szCs w:val="22"/>
          <w:lang w:eastAsia="en-GB"/>
        </w:rPr>
        <w:t xml:space="preserve"> </w:t>
      </w:r>
    </w:p>
    <w:p w:rsidR="0058263E" w:rsidRDefault="0058263E">
      <w:pPr>
        <w:ind w:left="567" w:right="1134" w:hanging="567"/>
        <w:jc w:val="both"/>
        <w:rPr>
          <w:i/>
          <w:iCs/>
          <w:sz w:val="22"/>
          <w:szCs w:val="22"/>
          <w:lang w:eastAsia="en-GB"/>
        </w:rPr>
      </w:pPr>
    </w:p>
    <w:p w:rsidR="0058263E" w:rsidRDefault="008D41A1">
      <w:pPr>
        <w:ind w:left="1440" w:right="1134"/>
        <w:jc w:val="both"/>
        <w:rPr>
          <w:i/>
          <w:sz w:val="22"/>
          <w:szCs w:val="22"/>
        </w:rPr>
      </w:pPr>
      <w:bookmarkStart w:id="2" w:name="para20"/>
      <w:r w:rsidRPr="008D41A1">
        <w:rPr>
          <w:i/>
          <w:sz w:val="22"/>
          <w:szCs w:val="22"/>
        </w:rPr>
        <w:t>“The phrase ‘physical and psychological integrity’ of a person... is with respect helpful. So is the person's ‘physical and social identity’... These expressions reflect what seems to me to be the central value protected by the right. I would describe it as the personal autonomy of every individual.</w:t>
      </w:r>
      <w:bookmarkEnd w:id="2"/>
      <w:r w:rsidRPr="008D41A1">
        <w:rPr>
          <w:i/>
          <w:sz w:val="22"/>
          <w:szCs w:val="22"/>
        </w:rPr>
        <w:t>..</w:t>
      </w:r>
    </w:p>
    <w:p w:rsidR="0058263E" w:rsidRDefault="0058263E">
      <w:pPr>
        <w:ind w:left="1440" w:right="1134"/>
        <w:jc w:val="both"/>
        <w:rPr>
          <w:i/>
          <w:sz w:val="22"/>
          <w:szCs w:val="22"/>
        </w:rPr>
      </w:pPr>
    </w:p>
    <w:p w:rsidR="0058263E" w:rsidRDefault="00C86DE5">
      <w:pPr>
        <w:ind w:left="1440" w:right="1134"/>
        <w:jc w:val="both"/>
        <w:rPr>
          <w:i/>
          <w:sz w:val="22"/>
          <w:szCs w:val="22"/>
        </w:rPr>
      </w:pPr>
      <w:r>
        <w:rPr>
          <w:i/>
          <w:sz w:val="22"/>
          <w:szCs w:val="22"/>
        </w:rPr>
        <w:t>The notion of the personal autonomy of every individual marches with the presumption of liberty enjoyed in a free polit</w:t>
      </w:r>
      <w:bookmarkStart w:id="3" w:name="para21"/>
      <w:r>
        <w:rPr>
          <w:i/>
          <w:sz w:val="22"/>
          <w:szCs w:val="22"/>
        </w:rPr>
        <w:t>y</w:t>
      </w:r>
      <w:r w:rsidR="008D41A1" w:rsidRPr="008D41A1">
        <w:rPr>
          <w:i/>
          <w:sz w:val="22"/>
          <w:szCs w:val="22"/>
        </w:rPr>
        <w:t xml:space="preserve">: a presumption which consists in the principle that every interference with the freedom of the individual stands in need of objective justification. Applied to the myriad instances recognised in the Article 8 jurisprudence, this presumption means that, subject to </w:t>
      </w:r>
      <w:r w:rsidR="008B5DC9">
        <w:rPr>
          <w:i/>
          <w:sz w:val="22"/>
          <w:szCs w:val="22"/>
        </w:rPr>
        <w:t>[</w:t>
      </w:r>
      <w:r w:rsidR="008D41A1" w:rsidRPr="008D41A1">
        <w:rPr>
          <w:i/>
          <w:sz w:val="22"/>
          <w:szCs w:val="22"/>
        </w:rPr>
        <w:t>qualifications</w:t>
      </w:r>
      <w:r w:rsidR="008B5DC9">
        <w:rPr>
          <w:i/>
          <w:sz w:val="22"/>
          <w:szCs w:val="22"/>
        </w:rPr>
        <w:t>]</w:t>
      </w:r>
      <w:r w:rsidR="008D41A1" w:rsidRPr="008D41A1">
        <w:rPr>
          <w:i/>
          <w:sz w:val="22"/>
          <w:szCs w:val="22"/>
        </w:rPr>
        <w:t>, an individual's personal autonomy makes him – should make him – master of all those facts about his own identity, such as his name, health, sexuality, ethnicity, his own image, of which the cases speak; and also of the "zone of interaction"</w:t>
      </w:r>
      <w:r w:rsidR="008B5DC9">
        <w:rPr>
          <w:i/>
          <w:sz w:val="22"/>
          <w:szCs w:val="22"/>
        </w:rPr>
        <w:t>...</w:t>
      </w:r>
      <w:r w:rsidR="008D41A1" w:rsidRPr="008D41A1">
        <w:rPr>
          <w:i/>
          <w:sz w:val="22"/>
          <w:szCs w:val="22"/>
        </w:rPr>
        <w:t xml:space="preserve"> between himself and others. He is the presumed owner of these aspects of his own self; his control of them can only be loosened, abrogated, if the State shows an objective justification for doing so. </w:t>
      </w:r>
      <w:bookmarkEnd w:id="3"/>
    </w:p>
    <w:p w:rsidR="0058263E" w:rsidRDefault="0058263E">
      <w:pPr>
        <w:ind w:left="1440" w:right="1134"/>
        <w:jc w:val="both"/>
        <w:rPr>
          <w:i/>
          <w:sz w:val="22"/>
          <w:szCs w:val="22"/>
        </w:rPr>
      </w:pPr>
    </w:p>
    <w:p w:rsidR="0058263E" w:rsidRDefault="008D41A1">
      <w:pPr>
        <w:ind w:left="1440" w:right="1134"/>
        <w:rPr>
          <w:i/>
          <w:sz w:val="22"/>
          <w:szCs w:val="22"/>
        </w:rPr>
      </w:pPr>
      <w:bookmarkStart w:id="4" w:name="para22"/>
      <w:r w:rsidRPr="008D41A1">
        <w:rPr>
          <w:i/>
          <w:sz w:val="22"/>
          <w:szCs w:val="22"/>
        </w:rPr>
        <w:t>This cluster of values, summarised as the personal autonomy of every individual and taking concrete form as a presumption against interference with the individual's liberty, is a defining characteristic of a free society. We therefore need to preserve it even in little cases</w:t>
      </w:r>
      <w:bookmarkEnd w:id="4"/>
      <w:r w:rsidRPr="008D41A1">
        <w:rPr>
          <w:i/>
          <w:sz w:val="22"/>
          <w:szCs w:val="22"/>
        </w:rPr>
        <w:t>...</w:t>
      </w:r>
      <w:r w:rsidR="008B5DC9">
        <w:rPr>
          <w:i/>
          <w:sz w:val="22"/>
          <w:szCs w:val="22"/>
        </w:rPr>
        <w:t>”</w:t>
      </w:r>
    </w:p>
    <w:p w:rsidR="0058263E" w:rsidRDefault="0058263E">
      <w:pPr>
        <w:spacing w:line="360" w:lineRule="auto"/>
        <w:jc w:val="both"/>
        <w:rPr>
          <w:iCs/>
          <w:sz w:val="22"/>
          <w:szCs w:val="22"/>
          <w:lang w:eastAsia="en-GB"/>
        </w:rPr>
      </w:pPr>
    </w:p>
    <w:p w:rsidR="00AB5CA7" w:rsidRDefault="00FA33B2" w:rsidP="00FA33B2">
      <w:pPr>
        <w:spacing w:line="360" w:lineRule="auto"/>
        <w:ind w:left="567" w:hanging="567"/>
        <w:jc w:val="both"/>
        <w:rPr>
          <w:iCs/>
          <w:sz w:val="22"/>
          <w:szCs w:val="22"/>
          <w:lang w:eastAsia="en-GB"/>
        </w:rPr>
      </w:pPr>
      <w:r>
        <w:rPr>
          <w:iCs/>
          <w:sz w:val="22"/>
          <w:szCs w:val="22"/>
          <w:lang w:eastAsia="en-GB"/>
        </w:rPr>
        <w:t>4.7</w:t>
      </w:r>
      <w:r>
        <w:rPr>
          <w:iCs/>
          <w:sz w:val="22"/>
          <w:szCs w:val="22"/>
          <w:lang w:eastAsia="en-GB"/>
        </w:rPr>
        <w:tab/>
      </w:r>
      <w:r w:rsidR="00A6769A">
        <w:rPr>
          <w:iCs/>
          <w:sz w:val="22"/>
          <w:szCs w:val="22"/>
          <w:lang w:eastAsia="en-GB"/>
        </w:rPr>
        <w:t xml:space="preserve">In </w:t>
      </w:r>
      <w:r w:rsidR="00AB5CA7">
        <w:rPr>
          <w:iCs/>
          <w:sz w:val="22"/>
          <w:szCs w:val="22"/>
          <w:lang w:eastAsia="en-GB"/>
        </w:rPr>
        <w:t xml:space="preserve">independent research </w:t>
      </w:r>
      <w:r w:rsidR="002B1AFC">
        <w:rPr>
          <w:iCs/>
          <w:sz w:val="22"/>
          <w:szCs w:val="22"/>
          <w:lang w:eastAsia="en-GB"/>
        </w:rPr>
        <w:t xml:space="preserve">recently </w:t>
      </w:r>
      <w:r w:rsidR="00AB5CA7">
        <w:rPr>
          <w:iCs/>
          <w:sz w:val="22"/>
          <w:szCs w:val="22"/>
          <w:lang w:eastAsia="en-GB"/>
        </w:rPr>
        <w:t xml:space="preserve">undertaken for the Commission, the authors referred to </w:t>
      </w:r>
      <w:r w:rsidR="003B13F4">
        <w:rPr>
          <w:iCs/>
          <w:sz w:val="22"/>
          <w:szCs w:val="22"/>
          <w:lang w:eastAsia="en-GB"/>
        </w:rPr>
        <w:t>a number of conceptions of privacy, including the notion of ‘informational self-determination’ (closely linked to Lord Hoffmann and Laws LJ’s analys</w:t>
      </w:r>
      <w:r>
        <w:rPr>
          <w:iCs/>
          <w:sz w:val="22"/>
          <w:szCs w:val="22"/>
          <w:lang w:eastAsia="en-GB"/>
        </w:rPr>
        <w:t>is above</w:t>
      </w:r>
      <w:r w:rsidR="003B13F4">
        <w:rPr>
          <w:iCs/>
          <w:sz w:val="22"/>
          <w:szCs w:val="22"/>
          <w:lang w:eastAsia="en-GB"/>
        </w:rPr>
        <w:t xml:space="preserve">) and the concept of privacy as ‘an aspect of </w:t>
      </w:r>
      <w:r w:rsidR="003B13F4">
        <w:rPr>
          <w:iCs/>
          <w:sz w:val="22"/>
          <w:szCs w:val="22"/>
          <w:lang w:eastAsia="en-GB"/>
        </w:rPr>
        <w:lastRenderedPageBreak/>
        <w:t>personhood,’ closely linked to dignity and personal autonomy.</w:t>
      </w:r>
      <w:r w:rsidR="003B13F4" w:rsidRPr="002B1AFC">
        <w:rPr>
          <w:rStyle w:val="FootnoteReference"/>
          <w:iCs/>
          <w:sz w:val="22"/>
          <w:szCs w:val="22"/>
          <w:lang w:eastAsia="en-GB"/>
        </w:rPr>
        <w:footnoteReference w:id="3"/>
      </w:r>
      <w:r>
        <w:rPr>
          <w:iCs/>
          <w:sz w:val="22"/>
          <w:szCs w:val="22"/>
          <w:lang w:eastAsia="en-GB"/>
        </w:rPr>
        <w:t xml:space="preserve">  They also drew upon </w:t>
      </w:r>
      <w:r w:rsidR="00AB5CA7">
        <w:rPr>
          <w:iCs/>
          <w:sz w:val="22"/>
          <w:szCs w:val="22"/>
          <w:lang w:eastAsia="en-GB"/>
        </w:rPr>
        <w:t xml:space="preserve">broad themes, in case law and literature, concerning the value of privacy: </w:t>
      </w:r>
    </w:p>
    <w:p w:rsidR="0058263E" w:rsidRDefault="008D41A1">
      <w:pPr>
        <w:ind w:left="567" w:right="1134" w:hanging="567"/>
        <w:jc w:val="both"/>
        <w:rPr>
          <w:i/>
          <w:iCs/>
          <w:sz w:val="22"/>
          <w:szCs w:val="22"/>
          <w:lang w:eastAsia="en-GB"/>
        </w:rPr>
      </w:pPr>
      <w:r w:rsidRPr="008D41A1">
        <w:rPr>
          <w:i/>
          <w:iCs/>
          <w:sz w:val="22"/>
          <w:szCs w:val="22"/>
          <w:lang w:eastAsia="en-GB"/>
        </w:rPr>
        <w:t xml:space="preserve">  </w:t>
      </w:r>
    </w:p>
    <w:p w:rsidR="0058263E" w:rsidRDefault="002B1AFC">
      <w:pPr>
        <w:ind w:left="1287" w:right="1134" w:firstLine="153"/>
        <w:jc w:val="both"/>
        <w:rPr>
          <w:i/>
          <w:iCs/>
          <w:sz w:val="22"/>
          <w:szCs w:val="22"/>
          <w:lang w:eastAsia="en-GB"/>
        </w:rPr>
      </w:pPr>
      <w:r>
        <w:rPr>
          <w:i/>
          <w:iCs/>
          <w:sz w:val="22"/>
          <w:szCs w:val="22"/>
          <w:lang w:eastAsia="en-GB"/>
        </w:rPr>
        <w:t>“</w:t>
      </w:r>
      <w:r w:rsidR="008D41A1" w:rsidRPr="008D41A1">
        <w:rPr>
          <w:i/>
          <w:iCs/>
          <w:sz w:val="22"/>
          <w:szCs w:val="22"/>
          <w:lang w:eastAsia="en-GB"/>
        </w:rPr>
        <w:t>Just as there is no agreed definition of privacy, there are also many different but overlapping ways in which privacy can be understood and justified. Privacy can, for example, be seen as a good in itself – as essential to our development as individuals, and bound up with ideas of dignity, liberty, and ‘personhood’. In addition to promoting these values, privacy can also be justified on more instrumental grounds. Without a degree of privacy, it can become very difficult for individuals to maintain a distinction between their personal and public lives, or to exercise other important social and political rights, such as rights to freedom of religion, freedom of association, and freedom of expression.</w:t>
      </w:r>
      <w:r>
        <w:rPr>
          <w:i/>
          <w:iCs/>
          <w:sz w:val="22"/>
          <w:szCs w:val="22"/>
          <w:lang w:eastAsia="en-GB"/>
        </w:rPr>
        <w:t>”</w:t>
      </w:r>
      <w:r w:rsidR="00AB5CA7" w:rsidRPr="002B1AFC">
        <w:rPr>
          <w:rStyle w:val="FootnoteReference"/>
          <w:iCs/>
          <w:sz w:val="22"/>
          <w:szCs w:val="22"/>
          <w:lang w:eastAsia="en-GB"/>
        </w:rPr>
        <w:footnoteReference w:id="4"/>
      </w:r>
    </w:p>
    <w:p w:rsidR="00CC387C" w:rsidRDefault="00CC387C" w:rsidP="00CC387C">
      <w:pPr>
        <w:spacing w:line="360" w:lineRule="auto"/>
        <w:ind w:left="567" w:hanging="567"/>
        <w:jc w:val="both"/>
        <w:rPr>
          <w:iCs/>
          <w:sz w:val="22"/>
          <w:szCs w:val="22"/>
          <w:lang w:eastAsia="en-GB"/>
        </w:rPr>
      </w:pPr>
    </w:p>
    <w:p w:rsidR="00A40457" w:rsidRDefault="000150A7" w:rsidP="00CC387C">
      <w:pPr>
        <w:spacing w:line="360" w:lineRule="auto"/>
        <w:ind w:left="567" w:hanging="567"/>
        <w:jc w:val="both"/>
        <w:rPr>
          <w:iCs/>
          <w:sz w:val="22"/>
          <w:szCs w:val="22"/>
          <w:lang w:eastAsia="en-GB"/>
        </w:rPr>
      </w:pPr>
      <w:r>
        <w:rPr>
          <w:iCs/>
          <w:sz w:val="22"/>
          <w:szCs w:val="22"/>
          <w:lang w:eastAsia="en-GB"/>
        </w:rPr>
        <w:t>4.</w:t>
      </w:r>
      <w:r w:rsidR="00FA33B2">
        <w:rPr>
          <w:iCs/>
          <w:sz w:val="22"/>
          <w:szCs w:val="22"/>
          <w:lang w:eastAsia="en-GB"/>
        </w:rPr>
        <w:t>8</w:t>
      </w:r>
      <w:r w:rsidR="002B1AFC">
        <w:rPr>
          <w:iCs/>
          <w:sz w:val="22"/>
          <w:szCs w:val="22"/>
          <w:lang w:eastAsia="en-GB"/>
        </w:rPr>
        <w:tab/>
      </w:r>
      <w:r w:rsidR="00FA33B2">
        <w:rPr>
          <w:iCs/>
          <w:sz w:val="22"/>
          <w:szCs w:val="22"/>
          <w:lang w:eastAsia="en-GB"/>
        </w:rPr>
        <w:t>In the Commission’s submission, in the circumstances of this case and under the 1997 Act ECRC scheme generally, t</w:t>
      </w:r>
      <w:r w:rsidR="002B1AFC">
        <w:rPr>
          <w:iCs/>
          <w:sz w:val="22"/>
          <w:szCs w:val="22"/>
          <w:lang w:eastAsia="en-GB"/>
        </w:rPr>
        <w:t>he</w:t>
      </w:r>
      <w:r w:rsidR="00783091">
        <w:rPr>
          <w:iCs/>
          <w:sz w:val="22"/>
          <w:szCs w:val="22"/>
          <w:lang w:eastAsia="en-GB"/>
        </w:rPr>
        <w:t xml:space="preserve">re is plainly an </w:t>
      </w:r>
      <w:r w:rsidR="000A5E17">
        <w:rPr>
          <w:iCs/>
          <w:sz w:val="22"/>
          <w:szCs w:val="22"/>
          <w:lang w:eastAsia="en-GB"/>
        </w:rPr>
        <w:t>interference with four different, but overlapping, aspects of the right to private life</w:t>
      </w:r>
      <w:r w:rsidR="00FA33B2">
        <w:rPr>
          <w:iCs/>
          <w:sz w:val="22"/>
          <w:szCs w:val="22"/>
          <w:lang w:eastAsia="en-GB"/>
        </w:rPr>
        <w:t>.</w:t>
      </w:r>
      <w:r w:rsidR="00AC38B4">
        <w:rPr>
          <w:iCs/>
          <w:sz w:val="22"/>
          <w:szCs w:val="22"/>
          <w:lang w:eastAsia="en-GB"/>
        </w:rPr>
        <w:t xml:space="preserve">  All four </w:t>
      </w:r>
      <w:r w:rsidR="009F43B5">
        <w:rPr>
          <w:iCs/>
          <w:sz w:val="22"/>
          <w:szCs w:val="22"/>
          <w:lang w:eastAsia="en-GB"/>
        </w:rPr>
        <w:t xml:space="preserve">aspects </w:t>
      </w:r>
      <w:r w:rsidR="00AC38B4">
        <w:rPr>
          <w:iCs/>
          <w:sz w:val="22"/>
          <w:szCs w:val="22"/>
          <w:lang w:eastAsia="en-GB"/>
        </w:rPr>
        <w:t>are underpinned by the recognition of the importance of informational self-determination</w:t>
      </w:r>
      <w:r w:rsidR="00094BC8">
        <w:rPr>
          <w:iCs/>
          <w:sz w:val="22"/>
          <w:szCs w:val="22"/>
          <w:lang w:eastAsia="en-GB"/>
        </w:rPr>
        <w:t xml:space="preserve"> and personal autonomy</w:t>
      </w:r>
      <w:r w:rsidR="009F43B5">
        <w:rPr>
          <w:iCs/>
          <w:sz w:val="22"/>
          <w:szCs w:val="22"/>
          <w:lang w:eastAsia="en-GB"/>
        </w:rPr>
        <w:t xml:space="preserve"> referred to in the Commission’s research</w:t>
      </w:r>
      <w:r w:rsidR="00AC38B4">
        <w:rPr>
          <w:iCs/>
          <w:sz w:val="22"/>
          <w:szCs w:val="22"/>
          <w:lang w:eastAsia="en-GB"/>
        </w:rPr>
        <w:t xml:space="preserve"> </w:t>
      </w:r>
      <w:r w:rsidR="009F43B5">
        <w:rPr>
          <w:iCs/>
          <w:sz w:val="22"/>
          <w:szCs w:val="22"/>
          <w:lang w:eastAsia="en-GB"/>
        </w:rPr>
        <w:t>and the domestic and Strasbourg courts.</w:t>
      </w:r>
    </w:p>
    <w:p w:rsidR="000D4259" w:rsidRDefault="000D4259" w:rsidP="00CC387C">
      <w:pPr>
        <w:spacing w:line="360" w:lineRule="auto"/>
        <w:ind w:left="567" w:hanging="567"/>
        <w:jc w:val="both"/>
        <w:rPr>
          <w:iCs/>
          <w:sz w:val="22"/>
          <w:szCs w:val="22"/>
          <w:lang w:eastAsia="en-GB"/>
        </w:rPr>
      </w:pPr>
    </w:p>
    <w:p w:rsidR="002B1AFC" w:rsidRDefault="009F43B5" w:rsidP="000D4259">
      <w:pPr>
        <w:spacing w:line="360" w:lineRule="auto"/>
        <w:ind w:left="567" w:hanging="567"/>
        <w:jc w:val="both"/>
        <w:rPr>
          <w:iCs/>
          <w:sz w:val="22"/>
          <w:szCs w:val="22"/>
          <w:lang w:eastAsia="en-GB"/>
        </w:rPr>
      </w:pPr>
      <w:r>
        <w:rPr>
          <w:iCs/>
          <w:sz w:val="22"/>
          <w:szCs w:val="22"/>
          <w:lang w:eastAsia="en-GB"/>
        </w:rPr>
        <w:t>4.9</w:t>
      </w:r>
      <w:r w:rsidR="000D4259">
        <w:rPr>
          <w:iCs/>
          <w:sz w:val="22"/>
          <w:szCs w:val="22"/>
          <w:lang w:eastAsia="en-GB"/>
        </w:rPr>
        <w:tab/>
      </w:r>
      <w:r w:rsidR="00A40457" w:rsidRPr="008114FF">
        <w:rPr>
          <w:iCs/>
          <w:sz w:val="22"/>
          <w:szCs w:val="22"/>
          <w:lang w:eastAsia="en-GB"/>
        </w:rPr>
        <w:t xml:space="preserve">First, regardless of any disclosure, the retention and storing of the information in question in itself constitutes a </w:t>
      </w:r>
      <w:r w:rsidR="008D41A1" w:rsidRPr="008D41A1">
        <w:rPr>
          <w:i/>
          <w:iCs/>
          <w:sz w:val="22"/>
          <w:szCs w:val="22"/>
          <w:lang w:eastAsia="en-GB"/>
        </w:rPr>
        <w:t>prima facie</w:t>
      </w:r>
      <w:r w:rsidR="00A40457" w:rsidRPr="008114FF">
        <w:rPr>
          <w:iCs/>
          <w:sz w:val="22"/>
          <w:szCs w:val="22"/>
          <w:lang w:eastAsia="en-GB"/>
        </w:rPr>
        <w:t xml:space="preserve"> interference with</w:t>
      </w:r>
      <w:r w:rsidR="008114FF" w:rsidRPr="008114FF">
        <w:rPr>
          <w:iCs/>
          <w:sz w:val="22"/>
          <w:szCs w:val="22"/>
          <w:lang w:eastAsia="en-GB"/>
        </w:rPr>
        <w:t xml:space="preserve"> Article 8(1) rights:</w:t>
      </w:r>
      <w:r w:rsidR="00783091" w:rsidRPr="008114FF">
        <w:rPr>
          <w:iCs/>
          <w:sz w:val="22"/>
          <w:szCs w:val="22"/>
          <w:lang w:eastAsia="en-GB"/>
        </w:rPr>
        <w:t xml:space="preserve"> </w:t>
      </w:r>
      <w:r w:rsidR="008D41A1" w:rsidRPr="008D41A1">
        <w:rPr>
          <w:i/>
          <w:iCs/>
          <w:sz w:val="22"/>
          <w:szCs w:val="22"/>
          <w:lang w:eastAsia="en-GB"/>
        </w:rPr>
        <w:t>Leander v. Sweden</w:t>
      </w:r>
      <w:r w:rsidR="00783091" w:rsidRPr="008114FF">
        <w:rPr>
          <w:iCs/>
          <w:sz w:val="22"/>
          <w:szCs w:val="22"/>
          <w:lang w:eastAsia="en-GB"/>
        </w:rPr>
        <w:t xml:space="preserve"> </w:t>
      </w:r>
      <w:r w:rsidR="008114FF" w:rsidRPr="008114FF">
        <w:rPr>
          <w:iCs/>
          <w:sz w:val="22"/>
          <w:szCs w:val="22"/>
          <w:lang w:eastAsia="en-GB"/>
        </w:rPr>
        <w:t xml:space="preserve">(1987) 9 EHRR 433, </w:t>
      </w:r>
      <w:proofErr w:type="spellStart"/>
      <w:r w:rsidR="008114FF" w:rsidRPr="008114FF">
        <w:rPr>
          <w:iCs/>
          <w:sz w:val="22"/>
          <w:szCs w:val="22"/>
          <w:lang w:eastAsia="en-GB"/>
        </w:rPr>
        <w:t>para</w:t>
      </w:r>
      <w:proofErr w:type="spellEnd"/>
      <w:r w:rsidR="008114FF" w:rsidRPr="008114FF">
        <w:rPr>
          <w:iCs/>
          <w:sz w:val="22"/>
          <w:szCs w:val="22"/>
          <w:lang w:eastAsia="en-GB"/>
        </w:rPr>
        <w:t xml:space="preserve">. 48.  The subsequent use of the stored information has no bearing on that finding: </w:t>
      </w:r>
      <w:proofErr w:type="spellStart"/>
      <w:r w:rsidR="008D41A1" w:rsidRPr="008D41A1">
        <w:rPr>
          <w:i/>
          <w:iCs/>
          <w:sz w:val="22"/>
          <w:szCs w:val="22"/>
          <w:lang w:eastAsia="en-GB"/>
        </w:rPr>
        <w:t>Amann</w:t>
      </w:r>
      <w:proofErr w:type="spellEnd"/>
      <w:r w:rsidR="008D41A1" w:rsidRPr="008D41A1">
        <w:rPr>
          <w:i/>
          <w:iCs/>
          <w:sz w:val="22"/>
          <w:szCs w:val="22"/>
          <w:lang w:eastAsia="en-GB"/>
        </w:rPr>
        <w:t xml:space="preserve"> v. Switzerland</w:t>
      </w:r>
      <w:r w:rsidR="008114FF" w:rsidRPr="008114FF">
        <w:rPr>
          <w:iCs/>
          <w:sz w:val="22"/>
          <w:szCs w:val="22"/>
          <w:lang w:eastAsia="en-GB"/>
        </w:rPr>
        <w:t xml:space="preserve"> </w:t>
      </w:r>
      <w:bookmarkStart w:id="5" w:name="note17"/>
      <w:r w:rsidR="008D41A1" w:rsidRPr="008D41A1">
        <w:rPr>
          <w:sz w:val="22"/>
          <w:szCs w:val="22"/>
        </w:rPr>
        <w:t>(2000) 30 EHRR 843</w:t>
      </w:r>
      <w:bookmarkEnd w:id="5"/>
      <w:r w:rsidR="008114FF">
        <w:rPr>
          <w:sz w:val="22"/>
          <w:szCs w:val="22"/>
        </w:rPr>
        <w:t xml:space="preserve">, </w:t>
      </w:r>
      <w:proofErr w:type="spellStart"/>
      <w:r w:rsidR="008114FF">
        <w:rPr>
          <w:sz w:val="22"/>
          <w:szCs w:val="22"/>
        </w:rPr>
        <w:t>para</w:t>
      </w:r>
      <w:proofErr w:type="spellEnd"/>
      <w:r w:rsidR="008114FF">
        <w:rPr>
          <w:sz w:val="22"/>
          <w:szCs w:val="22"/>
        </w:rPr>
        <w:t>. 69 (GC).  This was reiterated in the</w:t>
      </w:r>
      <w:r w:rsidR="008114FF">
        <w:rPr>
          <w:iCs/>
          <w:sz w:val="22"/>
          <w:szCs w:val="22"/>
          <w:lang w:eastAsia="en-GB"/>
        </w:rPr>
        <w:t xml:space="preserve"> </w:t>
      </w:r>
      <w:r w:rsidR="00783091">
        <w:rPr>
          <w:iCs/>
          <w:sz w:val="22"/>
          <w:szCs w:val="22"/>
          <w:lang w:eastAsia="en-GB"/>
        </w:rPr>
        <w:t xml:space="preserve">Grand Chamber’s judgment in </w:t>
      </w:r>
      <w:r w:rsidR="008D41A1" w:rsidRPr="008D41A1">
        <w:rPr>
          <w:i/>
          <w:iCs/>
          <w:sz w:val="22"/>
          <w:szCs w:val="22"/>
          <w:lang w:eastAsia="en-GB"/>
        </w:rPr>
        <w:t xml:space="preserve">S and </w:t>
      </w:r>
      <w:proofErr w:type="spellStart"/>
      <w:r w:rsidR="008D41A1" w:rsidRPr="008D41A1">
        <w:rPr>
          <w:i/>
          <w:iCs/>
          <w:sz w:val="22"/>
          <w:szCs w:val="22"/>
          <w:lang w:eastAsia="en-GB"/>
        </w:rPr>
        <w:t>Marper</w:t>
      </w:r>
      <w:proofErr w:type="spellEnd"/>
      <w:r w:rsidR="008D41A1" w:rsidRPr="008D41A1">
        <w:rPr>
          <w:i/>
          <w:iCs/>
          <w:sz w:val="22"/>
          <w:szCs w:val="22"/>
          <w:lang w:eastAsia="en-GB"/>
        </w:rPr>
        <w:t xml:space="preserve"> v. UK</w:t>
      </w:r>
      <w:r w:rsidR="00783091">
        <w:rPr>
          <w:iCs/>
          <w:sz w:val="22"/>
          <w:szCs w:val="22"/>
          <w:lang w:eastAsia="en-GB"/>
        </w:rPr>
        <w:t xml:space="preserve"> (2008) 48 EHRR 1169, </w:t>
      </w:r>
      <w:proofErr w:type="spellStart"/>
      <w:r w:rsidR="00783091">
        <w:rPr>
          <w:iCs/>
          <w:sz w:val="22"/>
          <w:szCs w:val="22"/>
          <w:lang w:eastAsia="en-GB"/>
        </w:rPr>
        <w:t>para</w:t>
      </w:r>
      <w:proofErr w:type="spellEnd"/>
      <w:r w:rsidR="00783091">
        <w:rPr>
          <w:iCs/>
          <w:sz w:val="22"/>
          <w:szCs w:val="22"/>
          <w:lang w:eastAsia="en-GB"/>
        </w:rPr>
        <w:t>. 121:</w:t>
      </w:r>
    </w:p>
    <w:p w:rsidR="0058263E" w:rsidRDefault="0058263E">
      <w:pPr>
        <w:ind w:left="1440" w:right="1134" w:hanging="870"/>
        <w:jc w:val="both"/>
        <w:rPr>
          <w:i/>
          <w:iCs/>
          <w:sz w:val="22"/>
          <w:szCs w:val="22"/>
          <w:lang w:eastAsia="en-GB"/>
        </w:rPr>
      </w:pPr>
    </w:p>
    <w:p w:rsidR="0058263E" w:rsidRDefault="008D41A1">
      <w:pPr>
        <w:ind w:left="2160" w:right="1134"/>
        <w:jc w:val="both"/>
        <w:rPr>
          <w:i/>
          <w:iCs/>
          <w:sz w:val="22"/>
          <w:szCs w:val="22"/>
          <w:lang w:eastAsia="en-GB"/>
        </w:rPr>
      </w:pPr>
      <w:r w:rsidRPr="008D41A1">
        <w:rPr>
          <w:i/>
          <w:iCs/>
          <w:sz w:val="22"/>
          <w:szCs w:val="22"/>
          <w:lang w:eastAsia="en-GB"/>
        </w:rPr>
        <w:t>“... the mere retention and storing of personal data by public authorities, however obtained, are to be regarded as having direct impact on the private life interest of an individual concerned, irrespective of whether subsequent use is made of the data.”</w:t>
      </w:r>
    </w:p>
    <w:p w:rsidR="0058263E" w:rsidRDefault="0058263E">
      <w:pPr>
        <w:spacing w:line="360" w:lineRule="auto"/>
        <w:ind w:left="1440" w:hanging="870"/>
        <w:jc w:val="both"/>
        <w:rPr>
          <w:iCs/>
          <w:sz w:val="22"/>
          <w:szCs w:val="22"/>
          <w:lang w:eastAsia="en-GB"/>
        </w:rPr>
      </w:pPr>
    </w:p>
    <w:p w:rsidR="0058263E" w:rsidRDefault="005328EB">
      <w:pPr>
        <w:spacing w:line="360" w:lineRule="auto"/>
        <w:ind w:left="570" w:hanging="570"/>
        <w:jc w:val="both"/>
        <w:rPr>
          <w:iCs/>
          <w:sz w:val="22"/>
          <w:szCs w:val="22"/>
          <w:lang w:eastAsia="en-GB"/>
        </w:rPr>
      </w:pPr>
      <w:r>
        <w:rPr>
          <w:iCs/>
          <w:sz w:val="22"/>
          <w:szCs w:val="22"/>
          <w:lang w:eastAsia="en-GB"/>
        </w:rPr>
        <w:t>4.10</w:t>
      </w:r>
      <w:r>
        <w:rPr>
          <w:iCs/>
          <w:sz w:val="22"/>
          <w:szCs w:val="22"/>
          <w:lang w:eastAsia="en-GB"/>
        </w:rPr>
        <w:tab/>
      </w:r>
      <w:r w:rsidR="00696FCD">
        <w:rPr>
          <w:iCs/>
          <w:sz w:val="22"/>
          <w:szCs w:val="22"/>
          <w:lang w:eastAsia="en-GB"/>
        </w:rPr>
        <w:t xml:space="preserve">In </w:t>
      </w:r>
      <w:r w:rsidR="008D41A1" w:rsidRPr="008D41A1">
        <w:rPr>
          <w:i/>
          <w:iCs/>
          <w:sz w:val="22"/>
          <w:szCs w:val="22"/>
          <w:lang w:eastAsia="en-GB"/>
        </w:rPr>
        <w:t>R (GC) v. Commissioner of Police for the Metropolis</w:t>
      </w:r>
      <w:r w:rsidR="00696FCD">
        <w:rPr>
          <w:iCs/>
          <w:sz w:val="22"/>
          <w:szCs w:val="22"/>
          <w:lang w:eastAsia="en-GB"/>
        </w:rPr>
        <w:t xml:space="preserve"> [2011] UKSC 21, [2011] 1 WLR 1230 the</w:t>
      </w:r>
    </w:p>
    <w:p w:rsidR="0058263E" w:rsidRDefault="00696FCD">
      <w:pPr>
        <w:spacing w:line="360" w:lineRule="auto"/>
        <w:ind w:left="1440" w:hanging="870"/>
        <w:jc w:val="both"/>
        <w:rPr>
          <w:iCs/>
          <w:sz w:val="22"/>
          <w:szCs w:val="22"/>
          <w:lang w:eastAsia="en-GB"/>
        </w:rPr>
      </w:pPr>
      <w:r>
        <w:rPr>
          <w:iCs/>
          <w:sz w:val="22"/>
          <w:szCs w:val="22"/>
          <w:lang w:eastAsia="en-GB"/>
        </w:rPr>
        <w:t xml:space="preserve">Supreme Court applied the </w:t>
      </w:r>
      <w:proofErr w:type="spellStart"/>
      <w:r>
        <w:rPr>
          <w:iCs/>
          <w:sz w:val="22"/>
          <w:szCs w:val="22"/>
          <w:lang w:eastAsia="en-GB"/>
        </w:rPr>
        <w:t>ECtHR’s</w:t>
      </w:r>
      <w:proofErr w:type="spellEnd"/>
      <w:r>
        <w:rPr>
          <w:iCs/>
          <w:sz w:val="22"/>
          <w:szCs w:val="22"/>
          <w:lang w:eastAsia="en-GB"/>
        </w:rPr>
        <w:t xml:space="preserve"> decision in </w:t>
      </w:r>
      <w:r w:rsidR="008D41A1" w:rsidRPr="008D41A1">
        <w:rPr>
          <w:i/>
          <w:iCs/>
          <w:sz w:val="22"/>
          <w:szCs w:val="22"/>
          <w:lang w:eastAsia="en-GB"/>
        </w:rPr>
        <w:t xml:space="preserve">S and </w:t>
      </w:r>
      <w:proofErr w:type="spellStart"/>
      <w:r w:rsidR="008D41A1" w:rsidRPr="008D41A1">
        <w:rPr>
          <w:i/>
          <w:iCs/>
          <w:sz w:val="22"/>
          <w:szCs w:val="22"/>
          <w:lang w:eastAsia="en-GB"/>
        </w:rPr>
        <w:t>Marper</w:t>
      </w:r>
      <w:proofErr w:type="spellEnd"/>
      <w:r>
        <w:rPr>
          <w:iCs/>
          <w:sz w:val="22"/>
          <w:szCs w:val="22"/>
          <w:lang w:eastAsia="en-GB"/>
        </w:rPr>
        <w:t xml:space="preserve"> and held</w:t>
      </w:r>
      <w:r w:rsidR="000D4259">
        <w:rPr>
          <w:iCs/>
          <w:sz w:val="22"/>
          <w:szCs w:val="22"/>
          <w:lang w:eastAsia="en-GB"/>
        </w:rPr>
        <w:t xml:space="preserve"> the indefinite retention of </w:t>
      </w:r>
    </w:p>
    <w:p w:rsidR="0058263E" w:rsidRDefault="00696FCD">
      <w:pPr>
        <w:spacing w:line="360" w:lineRule="auto"/>
        <w:ind w:left="1440" w:hanging="870"/>
        <w:jc w:val="both"/>
        <w:rPr>
          <w:iCs/>
          <w:sz w:val="22"/>
          <w:szCs w:val="22"/>
          <w:lang w:eastAsia="en-GB"/>
        </w:rPr>
      </w:pPr>
      <w:r>
        <w:rPr>
          <w:iCs/>
          <w:sz w:val="22"/>
          <w:szCs w:val="22"/>
          <w:lang w:eastAsia="en-GB"/>
        </w:rPr>
        <w:t xml:space="preserve">the claimants’ data (fingerprints and DNA samples) interfered with their rights under Article 8(1), </w:t>
      </w:r>
    </w:p>
    <w:p w:rsidR="0058263E" w:rsidRDefault="00696FCD">
      <w:pPr>
        <w:spacing w:line="360" w:lineRule="auto"/>
        <w:ind w:left="1440" w:hanging="870"/>
        <w:jc w:val="both"/>
        <w:rPr>
          <w:iCs/>
          <w:sz w:val="22"/>
          <w:szCs w:val="22"/>
          <w:lang w:eastAsia="en-GB"/>
        </w:rPr>
      </w:pPr>
      <w:r>
        <w:rPr>
          <w:iCs/>
          <w:sz w:val="22"/>
          <w:szCs w:val="22"/>
          <w:lang w:eastAsia="en-GB"/>
        </w:rPr>
        <w:t xml:space="preserve">and that interference was unjustified.  The Supreme Court in </w:t>
      </w:r>
      <w:r w:rsidR="008D41A1" w:rsidRPr="008D41A1">
        <w:rPr>
          <w:i/>
          <w:iCs/>
          <w:sz w:val="22"/>
          <w:szCs w:val="22"/>
          <w:lang w:eastAsia="en-GB"/>
        </w:rPr>
        <w:t>GC</w:t>
      </w:r>
      <w:r>
        <w:rPr>
          <w:iCs/>
          <w:sz w:val="22"/>
          <w:szCs w:val="22"/>
          <w:lang w:eastAsia="en-GB"/>
        </w:rPr>
        <w:t xml:space="preserve"> left open the question of </w:t>
      </w:r>
      <w:r w:rsidR="003D7C5A">
        <w:rPr>
          <w:iCs/>
          <w:sz w:val="22"/>
          <w:szCs w:val="22"/>
          <w:lang w:eastAsia="en-GB"/>
        </w:rPr>
        <w:t xml:space="preserve">whether </w:t>
      </w:r>
    </w:p>
    <w:p w:rsidR="0058263E" w:rsidRDefault="003D7C5A">
      <w:pPr>
        <w:spacing w:line="360" w:lineRule="auto"/>
        <w:ind w:left="1440" w:hanging="870"/>
        <w:jc w:val="both"/>
        <w:rPr>
          <w:iCs/>
          <w:sz w:val="22"/>
          <w:szCs w:val="22"/>
          <w:lang w:eastAsia="en-GB"/>
        </w:rPr>
      </w:pPr>
      <w:r>
        <w:rPr>
          <w:iCs/>
          <w:sz w:val="22"/>
          <w:szCs w:val="22"/>
          <w:lang w:eastAsia="en-GB"/>
        </w:rPr>
        <w:t xml:space="preserve">the retention of photographs of arrested persons not subsequently convicted of the offences for </w:t>
      </w:r>
    </w:p>
    <w:p w:rsidR="0058263E" w:rsidRDefault="003D7C5A">
      <w:pPr>
        <w:spacing w:line="360" w:lineRule="auto"/>
        <w:ind w:left="1440" w:hanging="870"/>
        <w:jc w:val="both"/>
        <w:rPr>
          <w:iCs/>
          <w:sz w:val="22"/>
          <w:szCs w:val="22"/>
          <w:lang w:eastAsia="en-GB"/>
        </w:rPr>
      </w:pPr>
      <w:r>
        <w:rPr>
          <w:iCs/>
          <w:sz w:val="22"/>
          <w:szCs w:val="22"/>
          <w:lang w:eastAsia="en-GB"/>
        </w:rPr>
        <w:lastRenderedPageBreak/>
        <w:t xml:space="preserve">which they were arrested violated their Article 8 rights, </w:t>
      </w:r>
      <w:r w:rsidR="008114FF">
        <w:rPr>
          <w:iCs/>
          <w:sz w:val="22"/>
          <w:szCs w:val="22"/>
          <w:lang w:eastAsia="en-GB"/>
        </w:rPr>
        <w:t xml:space="preserve">but a violation was subsequently found in </w:t>
      </w:r>
    </w:p>
    <w:p w:rsidR="0058263E" w:rsidRDefault="008D41A1">
      <w:pPr>
        <w:spacing w:line="360" w:lineRule="auto"/>
        <w:ind w:left="1440" w:hanging="870"/>
        <w:jc w:val="both"/>
        <w:rPr>
          <w:iCs/>
          <w:sz w:val="22"/>
          <w:szCs w:val="22"/>
          <w:lang w:eastAsia="en-GB"/>
        </w:rPr>
      </w:pPr>
      <w:r w:rsidRPr="008D41A1">
        <w:rPr>
          <w:i/>
          <w:iCs/>
          <w:sz w:val="22"/>
          <w:szCs w:val="22"/>
          <w:lang w:eastAsia="en-GB"/>
        </w:rPr>
        <w:t>RMC</w:t>
      </w:r>
      <w:r w:rsidR="008114FF">
        <w:rPr>
          <w:iCs/>
          <w:sz w:val="22"/>
          <w:szCs w:val="22"/>
          <w:lang w:eastAsia="en-GB"/>
        </w:rPr>
        <w:t>.</w:t>
      </w:r>
      <w:r w:rsidR="00696FCD">
        <w:rPr>
          <w:iCs/>
          <w:sz w:val="22"/>
          <w:szCs w:val="22"/>
          <w:lang w:eastAsia="en-GB"/>
        </w:rPr>
        <w:t xml:space="preserve">  </w:t>
      </w:r>
    </w:p>
    <w:p w:rsidR="0058263E" w:rsidRDefault="0058263E">
      <w:pPr>
        <w:spacing w:line="360" w:lineRule="auto"/>
        <w:ind w:left="1440" w:hanging="870"/>
        <w:jc w:val="both"/>
        <w:rPr>
          <w:iCs/>
          <w:sz w:val="22"/>
          <w:szCs w:val="22"/>
          <w:lang w:eastAsia="en-GB"/>
        </w:rPr>
      </w:pPr>
    </w:p>
    <w:p w:rsidR="0058263E" w:rsidRDefault="005328EB">
      <w:pPr>
        <w:spacing w:line="360" w:lineRule="auto"/>
        <w:ind w:left="570" w:hanging="570"/>
        <w:jc w:val="both"/>
        <w:rPr>
          <w:iCs/>
          <w:sz w:val="22"/>
          <w:szCs w:val="22"/>
          <w:lang w:eastAsia="en-GB"/>
        </w:rPr>
      </w:pPr>
      <w:r>
        <w:rPr>
          <w:iCs/>
          <w:sz w:val="22"/>
          <w:szCs w:val="22"/>
          <w:lang w:eastAsia="en-GB"/>
        </w:rPr>
        <w:t>4.11</w:t>
      </w:r>
      <w:r w:rsidR="000D4259">
        <w:rPr>
          <w:iCs/>
          <w:sz w:val="22"/>
          <w:szCs w:val="22"/>
          <w:lang w:eastAsia="en-GB"/>
        </w:rPr>
        <w:tab/>
      </w:r>
      <w:r w:rsidR="008114FF">
        <w:rPr>
          <w:iCs/>
          <w:sz w:val="22"/>
          <w:szCs w:val="22"/>
          <w:lang w:eastAsia="en-GB"/>
        </w:rPr>
        <w:t xml:space="preserve">In </w:t>
      </w:r>
      <w:r w:rsidR="008D41A1" w:rsidRPr="008D41A1">
        <w:rPr>
          <w:i/>
          <w:iCs/>
          <w:sz w:val="22"/>
          <w:szCs w:val="22"/>
          <w:lang w:eastAsia="en-GB"/>
        </w:rPr>
        <w:t xml:space="preserve">S and </w:t>
      </w:r>
      <w:proofErr w:type="spellStart"/>
      <w:r w:rsidR="008D41A1" w:rsidRPr="008D41A1">
        <w:rPr>
          <w:i/>
          <w:iCs/>
          <w:sz w:val="22"/>
          <w:szCs w:val="22"/>
          <w:lang w:eastAsia="en-GB"/>
        </w:rPr>
        <w:t>Marper</w:t>
      </w:r>
      <w:proofErr w:type="spellEnd"/>
      <w:r w:rsidR="008114FF">
        <w:rPr>
          <w:iCs/>
          <w:sz w:val="22"/>
          <w:szCs w:val="22"/>
          <w:lang w:eastAsia="en-GB"/>
        </w:rPr>
        <w:t xml:space="preserve"> the </w:t>
      </w:r>
      <w:proofErr w:type="spellStart"/>
      <w:r w:rsidR="008114FF">
        <w:rPr>
          <w:iCs/>
          <w:sz w:val="22"/>
          <w:szCs w:val="22"/>
          <w:lang w:eastAsia="en-GB"/>
        </w:rPr>
        <w:t>ECtHR</w:t>
      </w:r>
      <w:proofErr w:type="spellEnd"/>
      <w:r w:rsidR="008114FF">
        <w:rPr>
          <w:iCs/>
          <w:sz w:val="22"/>
          <w:szCs w:val="22"/>
          <w:lang w:eastAsia="en-GB"/>
        </w:rPr>
        <w:t xml:space="preserve"> declined to distinguish between the three different types of data under consideration (DNA profiles, cellular samples and fingerprints) in determining whether there had been a </w:t>
      </w:r>
      <w:r w:rsidR="008D41A1" w:rsidRPr="008D41A1">
        <w:rPr>
          <w:i/>
          <w:iCs/>
          <w:sz w:val="22"/>
          <w:szCs w:val="22"/>
          <w:lang w:eastAsia="en-GB"/>
        </w:rPr>
        <w:t>prima facie</w:t>
      </w:r>
      <w:r w:rsidR="008114FF">
        <w:rPr>
          <w:iCs/>
          <w:sz w:val="22"/>
          <w:szCs w:val="22"/>
          <w:lang w:eastAsia="en-GB"/>
        </w:rPr>
        <w:t xml:space="preserve"> interference with Article 8(1) rights.  It did however note that all three forms are ‘personal data’ under both the Council of Europe Convention of 1981 for the protection of individuals with regard to automatic processing of personal data (‘the Data Protection Convention’)</w:t>
      </w:r>
      <w:r w:rsidR="00035E3B">
        <w:rPr>
          <w:iCs/>
          <w:sz w:val="22"/>
          <w:szCs w:val="22"/>
          <w:lang w:eastAsia="en-GB"/>
        </w:rPr>
        <w:t xml:space="preserve"> and the Data Protection Act 1998 (‘DPA’) (</w:t>
      </w:r>
      <w:proofErr w:type="spellStart"/>
      <w:r w:rsidR="00035E3B">
        <w:rPr>
          <w:iCs/>
          <w:sz w:val="22"/>
          <w:szCs w:val="22"/>
          <w:lang w:eastAsia="en-GB"/>
        </w:rPr>
        <w:t>para</w:t>
      </w:r>
      <w:proofErr w:type="spellEnd"/>
      <w:r w:rsidR="00035E3B">
        <w:rPr>
          <w:iCs/>
          <w:sz w:val="22"/>
          <w:szCs w:val="22"/>
          <w:lang w:eastAsia="en-GB"/>
        </w:rPr>
        <w:t>. 68 of the judgment).</w:t>
      </w:r>
      <w:r w:rsidR="004B171F">
        <w:rPr>
          <w:iCs/>
          <w:sz w:val="22"/>
          <w:szCs w:val="22"/>
          <w:lang w:eastAsia="en-GB"/>
        </w:rPr>
        <w:t xml:space="preserve">  It cited in detail both the Data Protection Convention (</w:t>
      </w:r>
      <w:proofErr w:type="spellStart"/>
      <w:r w:rsidR="004B171F">
        <w:rPr>
          <w:iCs/>
          <w:sz w:val="22"/>
          <w:szCs w:val="22"/>
          <w:lang w:eastAsia="en-GB"/>
        </w:rPr>
        <w:t>para</w:t>
      </w:r>
      <w:proofErr w:type="spellEnd"/>
      <w:r w:rsidR="004B171F">
        <w:rPr>
          <w:iCs/>
          <w:sz w:val="22"/>
          <w:szCs w:val="22"/>
          <w:lang w:eastAsia="en-GB"/>
        </w:rPr>
        <w:t xml:space="preserve">. 41) and </w:t>
      </w:r>
      <w:r w:rsidR="000D4259">
        <w:rPr>
          <w:iCs/>
          <w:sz w:val="22"/>
          <w:szCs w:val="22"/>
          <w:lang w:eastAsia="en-GB"/>
        </w:rPr>
        <w:t xml:space="preserve">Recommendation No. R (87) 15: </w:t>
      </w:r>
      <w:r w:rsidR="008D41A1" w:rsidRPr="008D41A1">
        <w:rPr>
          <w:i/>
          <w:iCs/>
          <w:sz w:val="22"/>
          <w:szCs w:val="22"/>
          <w:lang w:eastAsia="en-GB"/>
        </w:rPr>
        <w:t>Regulating the use of personal data in the police sector</w:t>
      </w:r>
      <w:r w:rsidR="000D4259">
        <w:rPr>
          <w:iCs/>
          <w:sz w:val="22"/>
          <w:szCs w:val="22"/>
          <w:lang w:eastAsia="en-GB"/>
        </w:rPr>
        <w:t xml:space="preserve"> (adopted 17</w:t>
      </w:r>
      <w:r w:rsidR="008D41A1">
        <w:rPr>
          <w:iCs/>
          <w:sz w:val="22"/>
          <w:szCs w:val="22"/>
          <w:vertAlign w:val="superscript"/>
          <w:lang w:eastAsia="en-GB"/>
        </w:rPr>
        <w:t>th</w:t>
      </w:r>
      <w:r w:rsidR="000D4259">
        <w:rPr>
          <w:iCs/>
          <w:sz w:val="22"/>
          <w:szCs w:val="22"/>
          <w:lang w:eastAsia="en-GB"/>
        </w:rPr>
        <w:t xml:space="preserve"> September 1987) (</w:t>
      </w:r>
      <w:proofErr w:type="spellStart"/>
      <w:r w:rsidR="000D4259">
        <w:rPr>
          <w:iCs/>
          <w:sz w:val="22"/>
          <w:szCs w:val="22"/>
          <w:lang w:eastAsia="en-GB"/>
        </w:rPr>
        <w:t>para</w:t>
      </w:r>
      <w:proofErr w:type="spellEnd"/>
      <w:r w:rsidR="000D4259">
        <w:rPr>
          <w:iCs/>
          <w:sz w:val="22"/>
          <w:szCs w:val="22"/>
          <w:lang w:eastAsia="en-GB"/>
        </w:rPr>
        <w:t>. 42).</w:t>
      </w:r>
    </w:p>
    <w:p w:rsidR="0058263E" w:rsidRDefault="0058263E">
      <w:pPr>
        <w:spacing w:line="360" w:lineRule="auto"/>
        <w:ind w:left="570" w:hanging="570"/>
        <w:jc w:val="both"/>
        <w:rPr>
          <w:iCs/>
          <w:sz w:val="22"/>
          <w:szCs w:val="22"/>
          <w:lang w:eastAsia="en-GB"/>
        </w:rPr>
      </w:pPr>
    </w:p>
    <w:p w:rsidR="0058263E" w:rsidRDefault="00E36798">
      <w:pPr>
        <w:spacing w:line="360" w:lineRule="auto"/>
        <w:ind w:left="570" w:hanging="570"/>
        <w:jc w:val="both"/>
        <w:rPr>
          <w:iCs/>
          <w:sz w:val="22"/>
          <w:szCs w:val="22"/>
          <w:lang w:eastAsia="en-GB"/>
        </w:rPr>
      </w:pPr>
      <w:r>
        <w:rPr>
          <w:iCs/>
          <w:sz w:val="22"/>
          <w:szCs w:val="22"/>
          <w:lang w:eastAsia="en-GB"/>
        </w:rPr>
        <w:t>4.12</w:t>
      </w:r>
      <w:r w:rsidR="000D4259">
        <w:rPr>
          <w:iCs/>
          <w:sz w:val="22"/>
          <w:szCs w:val="22"/>
          <w:lang w:eastAsia="en-GB"/>
        </w:rPr>
        <w:tab/>
      </w:r>
      <w:r w:rsidR="00035E3B">
        <w:rPr>
          <w:iCs/>
          <w:sz w:val="22"/>
          <w:szCs w:val="22"/>
          <w:lang w:eastAsia="en-GB"/>
        </w:rPr>
        <w:t xml:space="preserve">Given the importance which the Grand Chamber attached to the data in </w:t>
      </w:r>
      <w:r w:rsidR="008D41A1" w:rsidRPr="008D41A1">
        <w:rPr>
          <w:i/>
          <w:iCs/>
          <w:sz w:val="22"/>
          <w:szCs w:val="22"/>
          <w:lang w:eastAsia="en-GB"/>
        </w:rPr>
        <w:t xml:space="preserve">S and </w:t>
      </w:r>
      <w:proofErr w:type="spellStart"/>
      <w:r w:rsidR="008D41A1" w:rsidRPr="008D41A1">
        <w:rPr>
          <w:i/>
          <w:iCs/>
          <w:sz w:val="22"/>
          <w:szCs w:val="22"/>
          <w:lang w:eastAsia="en-GB"/>
        </w:rPr>
        <w:t>Marper</w:t>
      </w:r>
      <w:proofErr w:type="spellEnd"/>
      <w:r w:rsidR="00035E3B">
        <w:rPr>
          <w:iCs/>
          <w:sz w:val="22"/>
          <w:szCs w:val="22"/>
          <w:lang w:eastAsia="en-GB"/>
        </w:rPr>
        <w:t xml:space="preserve"> being ‘personal data’ in </w:t>
      </w:r>
      <w:r w:rsidR="00A75E09">
        <w:rPr>
          <w:iCs/>
          <w:sz w:val="22"/>
          <w:szCs w:val="22"/>
          <w:lang w:eastAsia="en-GB"/>
        </w:rPr>
        <w:t>considering</w:t>
      </w:r>
      <w:r w:rsidR="00035E3B">
        <w:rPr>
          <w:iCs/>
          <w:sz w:val="22"/>
          <w:szCs w:val="22"/>
          <w:lang w:eastAsia="en-GB"/>
        </w:rPr>
        <w:t xml:space="preserve"> </w:t>
      </w:r>
      <w:r w:rsidR="002D04F8">
        <w:rPr>
          <w:iCs/>
          <w:sz w:val="22"/>
          <w:szCs w:val="22"/>
          <w:lang w:eastAsia="en-GB"/>
        </w:rPr>
        <w:t xml:space="preserve">the applicability of </w:t>
      </w:r>
      <w:r w:rsidR="00035E3B">
        <w:rPr>
          <w:iCs/>
          <w:sz w:val="22"/>
          <w:szCs w:val="22"/>
          <w:lang w:eastAsia="en-GB"/>
        </w:rPr>
        <w:t xml:space="preserve">Article 8(1), it is clear that the data with which this appeal is concerned </w:t>
      </w:r>
      <w:r w:rsidR="00A75E09">
        <w:rPr>
          <w:iCs/>
          <w:sz w:val="22"/>
          <w:szCs w:val="22"/>
          <w:lang w:eastAsia="en-GB"/>
        </w:rPr>
        <w:t xml:space="preserve">must </w:t>
      </w:r>
      <w:r w:rsidR="000D4259">
        <w:rPr>
          <w:iCs/>
          <w:sz w:val="22"/>
          <w:szCs w:val="22"/>
          <w:lang w:eastAsia="en-GB"/>
        </w:rPr>
        <w:t xml:space="preserve">also </w:t>
      </w:r>
      <w:r w:rsidR="00A75E09">
        <w:rPr>
          <w:iCs/>
          <w:sz w:val="22"/>
          <w:szCs w:val="22"/>
          <w:lang w:eastAsia="en-GB"/>
        </w:rPr>
        <w:t>fall within Article 8(1).  This is because it is afforded an even greater degree of protection, as it constitutes ‘sensitive personal data’</w:t>
      </w:r>
      <w:r w:rsidR="000D4259">
        <w:rPr>
          <w:iCs/>
          <w:sz w:val="22"/>
          <w:szCs w:val="22"/>
          <w:lang w:eastAsia="en-GB"/>
        </w:rPr>
        <w:t xml:space="preserve"> (s. 2(g) and (h), DPA</w:t>
      </w:r>
      <w:r w:rsidR="002D04F8">
        <w:rPr>
          <w:iCs/>
          <w:sz w:val="22"/>
          <w:szCs w:val="22"/>
          <w:lang w:eastAsia="en-GB"/>
        </w:rPr>
        <w:t xml:space="preserve">: </w:t>
      </w:r>
      <w:r w:rsidR="008D41A1" w:rsidRPr="008D41A1">
        <w:rPr>
          <w:i/>
          <w:iCs/>
          <w:sz w:val="22"/>
          <w:szCs w:val="22"/>
          <w:lang w:eastAsia="en-GB"/>
        </w:rPr>
        <w:t>“information as to... the commission or alleged commission by him of any offence”</w:t>
      </w:r>
      <w:r w:rsidR="002D04F8">
        <w:rPr>
          <w:iCs/>
          <w:sz w:val="22"/>
          <w:szCs w:val="22"/>
          <w:lang w:eastAsia="en-GB"/>
        </w:rPr>
        <w:t xml:space="preserve"> and </w:t>
      </w:r>
      <w:r w:rsidR="008D41A1" w:rsidRPr="008D41A1">
        <w:rPr>
          <w:i/>
          <w:iCs/>
          <w:sz w:val="22"/>
          <w:szCs w:val="22"/>
          <w:lang w:eastAsia="en-GB"/>
        </w:rPr>
        <w:t>“information as to... any proceedings for any offence committed or alleged to have been committed by him, the disposal of such proceedings of the sentence of any court in such proceedings</w:t>
      </w:r>
      <w:r w:rsidR="00260812">
        <w:rPr>
          <w:iCs/>
          <w:sz w:val="22"/>
          <w:szCs w:val="22"/>
          <w:lang w:eastAsia="en-GB"/>
        </w:rPr>
        <w:t>”).</w:t>
      </w:r>
      <w:r w:rsidR="002D04F8">
        <w:rPr>
          <w:iCs/>
          <w:sz w:val="22"/>
          <w:szCs w:val="22"/>
          <w:lang w:eastAsia="en-GB"/>
        </w:rPr>
        <w:t xml:space="preserve"> </w:t>
      </w:r>
      <w:r w:rsidR="00260812">
        <w:rPr>
          <w:iCs/>
          <w:sz w:val="22"/>
          <w:szCs w:val="22"/>
          <w:lang w:eastAsia="en-GB"/>
        </w:rPr>
        <w:t xml:space="preserve"> </w:t>
      </w:r>
      <w:r w:rsidR="000D4259">
        <w:rPr>
          <w:iCs/>
          <w:sz w:val="22"/>
          <w:szCs w:val="22"/>
          <w:lang w:eastAsia="en-GB"/>
        </w:rPr>
        <w:t xml:space="preserve">Article 6 of the Data Protection Convention also refers to ‘special categories of data,’ including </w:t>
      </w:r>
      <w:r w:rsidR="008D41A1" w:rsidRPr="008D41A1">
        <w:rPr>
          <w:i/>
          <w:iCs/>
          <w:sz w:val="22"/>
          <w:szCs w:val="22"/>
          <w:lang w:eastAsia="en-GB"/>
        </w:rPr>
        <w:t>“personal data relating to criminal convictions.”</w:t>
      </w:r>
      <w:r w:rsidR="002D04F8">
        <w:rPr>
          <w:i/>
          <w:iCs/>
          <w:sz w:val="22"/>
          <w:szCs w:val="22"/>
          <w:lang w:eastAsia="en-GB"/>
        </w:rPr>
        <w:t xml:space="preserve">  </w:t>
      </w:r>
      <w:r w:rsidR="002D04F8">
        <w:rPr>
          <w:iCs/>
          <w:sz w:val="22"/>
          <w:szCs w:val="22"/>
          <w:lang w:eastAsia="en-GB"/>
        </w:rPr>
        <w:t xml:space="preserve">Information falling with the special categories in Article 6, </w:t>
      </w:r>
      <w:r w:rsidR="008D41A1" w:rsidRPr="008D41A1">
        <w:rPr>
          <w:i/>
          <w:iCs/>
          <w:sz w:val="22"/>
          <w:szCs w:val="22"/>
          <w:lang w:eastAsia="en-GB"/>
        </w:rPr>
        <w:t>“</w:t>
      </w:r>
      <w:r w:rsidR="008D41A1" w:rsidRPr="008D41A1">
        <w:rPr>
          <w:i/>
          <w:sz w:val="22"/>
          <w:szCs w:val="22"/>
          <w:lang w:eastAsia="en-GB"/>
        </w:rPr>
        <w:t>may not be processed automatically unless domestic law provides appropriate safeguards.”</w:t>
      </w:r>
      <w:r w:rsidR="008D41A1" w:rsidRPr="008D41A1">
        <w:rPr>
          <w:i/>
          <w:iCs/>
          <w:sz w:val="22"/>
          <w:szCs w:val="22"/>
          <w:lang w:eastAsia="en-GB"/>
        </w:rPr>
        <w:t xml:space="preserve">   </w:t>
      </w:r>
    </w:p>
    <w:p w:rsidR="0058263E" w:rsidRDefault="0058263E">
      <w:pPr>
        <w:spacing w:line="360" w:lineRule="auto"/>
        <w:ind w:left="570" w:hanging="570"/>
        <w:jc w:val="both"/>
        <w:rPr>
          <w:i/>
          <w:iCs/>
          <w:sz w:val="22"/>
          <w:szCs w:val="22"/>
          <w:lang w:eastAsia="en-GB"/>
        </w:rPr>
      </w:pPr>
    </w:p>
    <w:p w:rsidR="00260812" w:rsidRDefault="00E36798" w:rsidP="00172BE7">
      <w:pPr>
        <w:spacing w:line="360" w:lineRule="auto"/>
        <w:ind w:left="567" w:hanging="567"/>
        <w:jc w:val="both"/>
        <w:rPr>
          <w:iCs/>
          <w:sz w:val="22"/>
          <w:szCs w:val="22"/>
          <w:lang w:eastAsia="en-GB"/>
        </w:rPr>
      </w:pPr>
      <w:r>
        <w:rPr>
          <w:iCs/>
          <w:sz w:val="22"/>
          <w:szCs w:val="22"/>
          <w:lang w:eastAsia="en-GB"/>
        </w:rPr>
        <w:t>4.13</w:t>
      </w:r>
      <w:r w:rsidR="00260812">
        <w:rPr>
          <w:iCs/>
          <w:sz w:val="22"/>
          <w:szCs w:val="22"/>
          <w:lang w:eastAsia="en-GB"/>
        </w:rPr>
        <w:tab/>
        <w:t xml:space="preserve">Second, the release or disclosure </w:t>
      </w:r>
      <w:bookmarkStart w:id="6" w:name="n16"/>
      <w:bookmarkStart w:id="7" w:name="n17"/>
      <w:bookmarkStart w:id="8" w:name="n18"/>
      <w:bookmarkStart w:id="9" w:name="n19"/>
      <w:bookmarkEnd w:id="6"/>
      <w:bookmarkEnd w:id="7"/>
      <w:bookmarkEnd w:id="8"/>
      <w:bookmarkEnd w:id="9"/>
      <w:r w:rsidR="00433085" w:rsidRPr="004568F4">
        <w:rPr>
          <w:iCs/>
          <w:sz w:val="22"/>
          <w:szCs w:val="22"/>
          <w:lang w:eastAsia="en-GB"/>
        </w:rPr>
        <w:t xml:space="preserve">of </w:t>
      </w:r>
      <w:r w:rsidR="00260812">
        <w:rPr>
          <w:iCs/>
          <w:sz w:val="22"/>
          <w:szCs w:val="22"/>
          <w:lang w:eastAsia="en-GB"/>
        </w:rPr>
        <w:t xml:space="preserve">sensitive </w:t>
      </w:r>
      <w:r w:rsidR="00433085" w:rsidRPr="004568F4">
        <w:rPr>
          <w:iCs/>
          <w:sz w:val="22"/>
          <w:szCs w:val="22"/>
          <w:lang w:eastAsia="en-GB"/>
        </w:rPr>
        <w:t>information about the individual that is stored on public records, despite the individual wishing to keep it private</w:t>
      </w:r>
      <w:r w:rsidR="00260812">
        <w:rPr>
          <w:iCs/>
          <w:sz w:val="22"/>
          <w:szCs w:val="22"/>
          <w:lang w:eastAsia="en-GB"/>
        </w:rPr>
        <w:t>, also amounts to a breach of Article 8(1)</w:t>
      </w:r>
      <w:r w:rsidR="00433085" w:rsidRPr="004568F4">
        <w:rPr>
          <w:iCs/>
          <w:sz w:val="22"/>
          <w:szCs w:val="22"/>
          <w:lang w:eastAsia="en-GB"/>
        </w:rPr>
        <w:t xml:space="preserve">: see e.g. </w:t>
      </w:r>
      <w:r w:rsidR="00433085" w:rsidRPr="004568F4">
        <w:rPr>
          <w:i/>
          <w:iCs/>
          <w:sz w:val="22"/>
          <w:szCs w:val="22"/>
          <w:lang w:eastAsia="en-GB"/>
        </w:rPr>
        <w:t>R v. Chief Constable of North Wales Police, ex parte A</w:t>
      </w:r>
      <w:r w:rsidR="00433085" w:rsidRPr="004568F4">
        <w:rPr>
          <w:iCs/>
          <w:sz w:val="22"/>
          <w:szCs w:val="22"/>
          <w:lang w:eastAsia="en-GB"/>
        </w:rPr>
        <w:t xml:space="preserve">B [1999] QB 396 per Lord Bingham at 414, Buxton J at 416, Lord Woolf at 429; </w:t>
      </w:r>
      <w:r w:rsidR="00433085" w:rsidRPr="004568F4">
        <w:rPr>
          <w:i/>
          <w:iCs/>
          <w:sz w:val="22"/>
          <w:szCs w:val="22"/>
          <w:lang w:eastAsia="en-GB"/>
        </w:rPr>
        <w:t>L</w:t>
      </w:r>
      <w:r w:rsidR="00433085" w:rsidRPr="004568F4">
        <w:rPr>
          <w:iCs/>
          <w:sz w:val="22"/>
          <w:szCs w:val="22"/>
          <w:lang w:eastAsia="en-GB"/>
        </w:rPr>
        <w:t xml:space="preserve">, per Lord Hope at </w:t>
      </w:r>
      <w:proofErr w:type="spellStart"/>
      <w:r w:rsidR="00433085" w:rsidRPr="004568F4">
        <w:rPr>
          <w:iCs/>
          <w:sz w:val="22"/>
          <w:szCs w:val="22"/>
          <w:lang w:eastAsia="en-GB"/>
        </w:rPr>
        <w:t>para</w:t>
      </w:r>
      <w:r w:rsidR="00F81752">
        <w:rPr>
          <w:iCs/>
          <w:sz w:val="22"/>
          <w:szCs w:val="22"/>
          <w:lang w:eastAsia="en-GB"/>
        </w:rPr>
        <w:t>s</w:t>
      </w:r>
      <w:proofErr w:type="spellEnd"/>
      <w:r w:rsidR="00433085" w:rsidRPr="004568F4">
        <w:rPr>
          <w:iCs/>
          <w:sz w:val="22"/>
          <w:szCs w:val="22"/>
          <w:lang w:eastAsia="en-GB"/>
        </w:rPr>
        <w:t>. 25</w:t>
      </w:r>
      <w:r w:rsidR="00F81752">
        <w:rPr>
          <w:iCs/>
          <w:sz w:val="22"/>
          <w:szCs w:val="22"/>
          <w:lang w:eastAsia="en-GB"/>
        </w:rPr>
        <w:t>, 27</w:t>
      </w:r>
      <w:r w:rsidR="00433085" w:rsidRPr="004568F4">
        <w:rPr>
          <w:iCs/>
          <w:sz w:val="22"/>
          <w:szCs w:val="22"/>
          <w:lang w:eastAsia="en-GB"/>
        </w:rPr>
        <w:t xml:space="preserve">; </w:t>
      </w:r>
      <w:r w:rsidR="00433085" w:rsidRPr="004568F4">
        <w:rPr>
          <w:i/>
          <w:iCs/>
          <w:sz w:val="22"/>
          <w:szCs w:val="22"/>
          <w:lang w:eastAsia="en-GB"/>
        </w:rPr>
        <w:t>Leander v. Sweden</w:t>
      </w:r>
      <w:r w:rsidR="00433085" w:rsidRPr="004568F4">
        <w:rPr>
          <w:iCs/>
          <w:sz w:val="22"/>
          <w:szCs w:val="22"/>
          <w:lang w:eastAsia="en-GB"/>
        </w:rPr>
        <w:t xml:space="preserve"> (1987) 9 EHRR 433, </w:t>
      </w:r>
      <w:proofErr w:type="spellStart"/>
      <w:r w:rsidR="00433085" w:rsidRPr="004568F4">
        <w:rPr>
          <w:iCs/>
          <w:sz w:val="22"/>
          <w:szCs w:val="22"/>
          <w:lang w:eastAsia="en-GB"/>
        </w:rPr>
        <w:t>para</w:t>
      </w:r>
      <w:proofErr w:type="spellEnd"/>
      <w:r w:rsidR="00433085" w:rsidRPr="004568F4">
        <w:rPr>
          <w:iCs/>
          <w:sz w:val="22"/>
          <w:szCs w:val="22"/>
          <w:lang w:eastAsia="en-GB"/>
        </w:rPr>
        <w:t>.</w:t>
      </w:r>
      <w:r w:rsidR="008D41A1" w:rsidRPr="008D41A1">
        <w:rPr>
          <w:i/>
          <w:iCs/>
          <w:sz w:val="22"/>
          <w:szCs w:val="22"/>
          <w:lang w:eastAsia="en-GB"/>
        </w:rPr>
        <w:t xml:space="preserve"> 48; </w:t>
      </w:r>
      <w:proofErr w:type="spellStart"/>
      <w:r w:rsidR="008D41A1" w:rsidRPr="008D41A1">
        <w:rPr>
          <w:i/>
          <w:iCs/>
          <w:sz w:val="22"/>
          <w:szCs w:val="22"/>
          <w:lang w:eastAsia="en-GB"/>
        </w:rPr>
        <w:t>Rotaru</w:t>
      </w:r>
      <w:proofErr w:type="spellEnd"/>
      <w:r w:rsidR="008D41A1" w:rsidRPr="008D41A1">
        <w:rPr>
          <w:i/>
          <w:iCs/>
          <w:sz w:val="22"/>
          <w:szCs w:val="22"/>
          <w:lang w:eastAsia="en-GB"/>
        </w:rPr>
        <w:t xml:space="preserve"> v. Romania (2000) 8 </w:t>
      </w:r>
      <w:r w:rsidR="00433085" w:rsidRPr="004568F4">
        <w:rPr>
          <w:iCs/>
          <w:sz w:val="22"/>
          <w:szCs w:val="22"/>
          <w:lang w:eastAsia="en-GB"/>
        </w:rPr>
        <w:t xml:space="preserve">BHRC </w:t>
      </w:r>
      <w:r w:rsidR="00433085">
        <w:rPr>
          <w:iCs/>
          <w:sz w:val="22"/>
          <w:szCs w:val="22"/>
          <w:lang w:eastAsia="en-GB"/>
        </w:rPr>
        <w:t xml:space="preserve">449, </w:t>
      </w:r>
      <w:proofErr w:type="spellStart"/>
      <w:r w:rsidR="00433085">
        <w:rPr>
          <w:iCs/>
          <w:sz w:val="22"/>
          <w:szCs w:val="22"/>
          <w:lang w:eastAsia="en-GB"/>
        </w:rPr>
        <w:t>para</w:t>
      </w:r>
      <w:proofErr w:type="spellEnd"/>
      <w:r w:rsidR="00433085">
        <w:rPr>
          <w:iCs/>
          <w:sz w:val="22"/>
          <w:szCs w:val="22"/>
          <w:lang w:eastAsia="en-GB"/>
        </w:rPr>
        <w:t xml:space="preserve">. 43; </w:t>
      </w:r>
      <w:proofErr w:type="spellStart"/>
      <w:r w:rsidR="00433085" w:rsidRPr="00433085">
        <w:rPr>
          <w:i/>
          <w:iCs/>
          <w:sz w:val="22"/>
          <w:szCs w:val="22"/>
          <w:lang w:eastAsia="en-GB"/>
        </w:rPr>
        <w:t>Segerstedt-Wiberg</w:t>
      </w:r>
      <w:proofErr w:type="spellEnd"/>
      <w:r w:rsidR="00433085" w:rsidRPr="00433085">
        <w:rPr>
          <w:i/>
          <w:iCs/>
          <w:sz w:val="22"/>
          <w:szCs w:val="22"/>
          <w:lang w:eastAsia="en-GB"/>
        </w:rPr>
        <w:t xml:space="preserve"> v. Sweden</w:t>
      </w:r>
      <w:r w:rsidR="00433085">
        <w:rPr>
          <w:iCs/>
          <w:sz w:val="22"/>
          <w:szCs w:val="22"/>
          <w:lang w:eastAsia="en-GB"/>
        </w:rPr>
        <w:t>, App. No. 62332/00, 6</w:t>
      </w:r>
      <w:r w:rsidR="00433085" w:rsidRPr="00433085">
        <w:rPr>
          <w:iCs/>
          <w:sz w:val="22"/>
          <w:szCs w:val="22"/>
          <w:vertAlign w:val="superscript"/>
          <w:lang w:eastAsia="en-GB"/>
        </w:rPr>
        <w:t>th</w:t>
      </w:r>
      <w:r w:rsidR="00433085">
        <w:rPr>
          <w:iCs/>
          <w:sz w:val="22"/>
          <w:szCs w:val="22"/>
          <w:lang w:eastAsia="en-GB"/>
        </w:rPr>
        <w:t xml:space="preserve"> June 2006, </w:t>
      </w:r>
      <w:proofErr w:type="spellStart"/>
      <w:r w:rsidR="00433085">
        <w:rPr>
          <w:iCs/>
          <w:sz w:val="22"/>
          <w:szCs w:val="22"/>
          <w:lang w:eastAsia="en-GB"/>
        </w:rPr>
        <w:t>para</w:t>
      </w:r>
      <w:proofErr w:type="spellEnd"/>
      <w:r w:rsidR="00433085">
        <w:rPr>
          <w:iCs/>
          <w:sz w:val="22"/>
          <w:szCs w:val="22"/>
          <w:lang w:eastAsia="en-GB"/>
        </w:rPr>
        <w:t>. 72</w:t>
      </w:r>
      <w:r w:rsidR="00260812">
        <w:rPr>
          <w:iCs/>
          <w:sz w:val="22"/>
          <w:szCs w:val="22"/>
          <w:lang w:eastAsia="en-GB"/>
        </w:rPr>
        <w:t>.  This approach was adopted by Kenneth Parker J in the present case, and the Commission respectfully agrees with his reasoning in this regard.</w:t>
      </w:r>
    </w:p>
    <w:p w:rsidR="0058263E" w:rsidRDefault="0058263E" w:rsidP="00172BE7">
      <w:pPr>
        <w:spacing w:line="360" w:lineRule="auto"/>
        <w:ind w:left="567" w:hanging="567"/>
        <w:jc w:val="both"/>
        <w:rPr>
          <w:iCs/>
          <w:sz w:val="22"/>
          <w:szCs w:val="22"/>
          <w:lang w:eastAsia="en-GB"/>
        </w:rPr>
      </w:pPr>
    </w:p>
    <w:p w:rsidR="0058263E" w:rsidRDefault="00E36798">
      <w:pPr>
        <w:spacing w:line="360" w:lineRule="auto"/>
        <w:ind w:left="567" w:hanging="567"/>
        <w:jc w:val="both"/>
        <w:rPr>
          <w:iCs/>
          <w:sz w:val="22"/>
          <w:szCs w:val="22"/>
          <w:lang w:eastAsia="en-GB"/>
        </w:rPr>
      </w:pPr>
      <w:r>
        <w:rPr>
          <w:iCs/>
          <w:sz w:val="22"/>
          <w:szCs w:val="22"/>
          <w:lang w:eastAsia="en-GB"/>
        </w:rPr>
        <w:lastRenderedPageBreak/>
        <w:t>4.14</w:t>
      </w:r>
      <w:r w:rsidR="00FB0DBA" w:rsidRPr="003612F1">
        <w:rPr>
          <w:iCs/>
          <w:sz w:val="22"/>
          <w:szCs w:val="22"/>
          <w:lang w:eastAsia="en-GB"/>
        </w:rPr>
        <w:tab/>
      </w:r>
      <w:r>
        <w:rPr>
          <w:iCs/>
          <w:sz w:val="22"/>
          <w:szCs w:val="22"/>
          <w:lang w:eastAsia="en-GB"/>
        </w:rPr>
        <w:t xml:space="preserve">This aspect of privacy concerns T’s right to informational self-determination – to be </w:t>
      </w:r>
      <w:r w:rsidR="008D41A1" w:rsidRPr="008D41A1">
        <w:rPr>
          <w:i/>
          <w:iCs/>
          <w:sz w:val="22"/>
          <w:szCs w:val="22"/>
          <w:lang w:eastAsia="en-GB"/>
        </w:rPr>
        <w:t>“master of all those facts about his own identity... of which the cases speak”</w:t>
      </w:r>
      <w:r>
        <w:rPr>
          <w:iCs/>
          <w:sz w:val="22"/>
          <w:szCs w:val="22"/>
          <w:lang w:eastAsia="en-GB"/>
        </w:rPr>
        <w:t xml:space="preserve"> (per Laws LJ in Wood, </w:t>
      </w:r>
      <w:proofErr w:type="spellStart"/>
      <w:r>
        <w:rPr>
          <w:iCs/>
          <w:sz w:val="22"/>
          <w:szCs w:val="22"/>
          <w:lang w:eastAsia="en-GB"/>
        </w:rPr>
        <w:t>para</w:t>
      </w:r>
      <w:proofErr w:type="spellEnd"/>
      <w:r>
        <w:rPr>
          <w:iCs/>
          <w:sz w:val="22"/>
          <w:szCs w:val="22"/>
          <w:lang w:eastAsia="en-GB"/>
        </w:rPr>
        <w:t>. 21).</w:t>
      </w:r>
    </w:p>
    <w:p w:rsidR="0058263E" w:rsidRDefault="0058263E">
      <w:pPr>
        <w:spacing w:line="360" w:lineRule="auto"/>
        <w:ind w:left="567" w:hanging="567"/>
        <w:jc w:val="both"/>
        <w:rPr>
          <w:iCs/>
          <w:sz w:val="22"/>
          <w:szCs w:val="22"/>
          <w:lang w:eastAsia="en-GB"/>
        </w:rPr>
      </w:pPr>
    </w:p>
    <w:p w:rsidR="0058263E" w:rsidRDefault="00E36798">
      <w:pPr>
        <w:spacing w:line="360" w:lineRule="auto"/>
        <w:ind w:left="567" w:hanging="567"/>
        <w:jc w:val="both"/>
        <w:rPr>
          <w:iCs/>
          <w:sz w:val="22"/>
          <w:szCs w:val="22"/>
          <w:lang w:eastAsia="en-GB"/>
        </w:rPr>
      </w:pPr>
      <w:r>
        <w:rPr>
          <w:iCs/>
          <w:sz w:val="22"/>
          <w:szCs w:val="22"/>
          <w:lang w:eastAsia="en-GB"/>
        </w:rPr>
        <w:t xml:space="preserve">4.15  </w:t>
      </w:r>
      <w:r w:rsidR="00DC0F68">
        <w:rPr>
          <w:iCs/>
          <w:sz w:val="22"/>
          <w:szCs w:val="22"/>
          <w:lang w:eastAsia="en-GB"/>
        </w:rPr>
        <w:t>Liberty submit that Article 8(1) necessarily applies given that cautions/ reprimands/ warnings are administered in private and treated as immediately spent under the ROA (</w:t>
      </w:r>
      <w:proofErr w:type="spellStart"/>
      <w:r w:rsidR="00DC0F68">
        <w:rPr>
          <w:iCs/>
          <w:sz w:val="22"/>
          <w:szCs w:val="22"/>
          <w:lang w:eastAsia="en-GB"/>
        </w:rPr>
        <w:t>para</w:t>
      </w:r>
      <w:proofErr w:type="spellEnd"/>
      <w:r w:rsidR="00DC0F68">
        <w:rPr>
          <w:iCs/>
          <w:sz w:val="22"/>
          <w:szCs w:val="22"/>
          <w:lang w:eastAsia="en-GB"/>
        </w:rPr>
        <w:t xml:space="preserve">. 31 of their written submissions).  The SSHD and SSJ dispute the submission that, because a caution is administered </w:t>
      </w:r>
      <w:r w:rsidR="008D41A1" w:rsidRPr="008D41A1">
        <w:rPr>
          <w:i/>
          <w:iCs/>
          <w:sz w:val="22"/>
          <w:szCs w:val="22"/>
          <w:lang w:eastAsia="en-GB"/>
        </w:rPr>
        <w:t>“behind closed doors”</w:t>
      </w:r>
      <w:r w:rsidR="00DC0F68">
        <w:rPr>
          <w:iCs/>
          <w:sz w:val="22"/>
          <w:szCs w:val="22"/>
          <w:lang w:eastAsia="en-GB"/>
        </w:rPr>
        <w:t xml:space="preserve"> it falls within Article 8(1) (</w:t>
      </w:r>
      <w:proofErr w:type="spellStart"/>
      <w:r w:rsidR="00DC0F68">
        <w:rPr>
          <w:iCs/>
          <w:sz w:val="22"/>
          <w:szCs w:val="22"/>
          <w:lang w:eastAsia="en-GB"/>
        </w:rPr>
        <w:t>para</w:t>
      </w:r>
      <w:proofErr w:type="spellEnd"/>
      <w:r w:rsidR="00DC0F68">
        <w:rPr>
          <w:iCs/>
          <w:sz w:val="22"/>
          <w:szCs w:val="22"/>
          <w:lang w:eastAsia="en-GB"/>
        </w:rPr>
        <w:t>. 35 of their Skeleton).</w:t>
      </w:r>
      <w:r w:rsidR="00F81752">
        <w:rPr>
          <w:iCs/>
          <w:sz w:val="22"/>
          <w:szCs w:val="22"/>
          <w:lang w:eastAsia="en-GB"/>
        </w:rPr>
        <w:t xml:space="preserve">  However Liberty’s submission in this regard, and the phrase itself, was directly drawn from Lord Hope’s analysis at </w:t>
      </w:r>
      <w:proofErr w:type="spellStart"/>
      <w:r w:rsidR="00F81752">
        <w:rPr>
          <w:iCs/>
          <w:sz w:val="22"/>
          <w:szCs w:val="22"/>
          <w:lang w:eastAsia="en-GB"/>
        </w:rPr>
        <w:t>para</w:t>
      </w:r>
      <w:proofErr w:type="spellEnd"/>
      <w:r w:rsidR="00F81752">
        <w:rPr>
          <w:iCs/>
          <w:sz w:val="22"/>
          <w:szCs w:val="22"/>
          <w:lang w:eastAsia="en-GB"/>
        </w:rPr>
        <w:t xml:space="preserve">. 27 of </w:t>
      </w:r>
      <w:r w:rsidR="008D41A1" w:rsidRPr="008D41A1">
        <w:rPr>
          <w:i/>
          <w:iCs/>
          <w:sz w:val="22"/>
          <w:szCs w:val="22"/>
          <w:lang w:eastAsia="en-GB"/>
        </w:rPr>
        <w:t>L</w:t>
      </w:r>
      <w:r w:rsidR="00F81752">
        <w:rPr>
          <w:iCs/>
          <w:sz w:val="22"/>
          <w:szCs w:val="22"/>
          <w:lang w:eastAsia="en-GB"/>
        </w:rPr>
        <w:t xml:space="preserve">.  In that passage he was explaining why Article 8(1) applies to information about convictions, despite them being public.  He derived assistance in reaching that conclusion from the fact that he considered other non-conviction information disclosed in an ECRC to relate to </w:t>
      </w:r>
      <w:r w:rsidR="008D41A1" w:rsidRPr="008D41A1">
        <w:rPr>
          <w:i/>
          <w:iCs/>
          <w:sz w:val="22"/>
          <w:szCs w:val="22"/>
          <w:lang w:eastAsia="en-GB"/>
        </w:rPr>
        <w:t>“things that happen behind closed doors,”</w:t>
      </w:r>
      <w:r w:rsidR="00F81752">
        <w:rPr>
          <w:iCs/>
          <w:sz w:val="22"/>
          <w:szCs w:val="22"/>
          <w:lang w:eastAsia="en-GB"/>
        </w:rPr>
        <w:t xml:space="preserve"> giving the specific example of a caution having been administered in private.  </w:t>
      </w:r>
    </w:p>
    <w:p w:rsidR="0058263E" w:rsidRDefault="0058263E">
      <w:pPr>
        <w:spacing w:line="360" w:lineRule="auto"/>
        <w:ind w:left="567" w:hanging="567"/>
        <w:jc w:val="both"/>
        <w:rPr>
          <w:iCs/>
          <w:sz w:val="22"/>
          <w:szCs w:val="22"/>
          <w:lang w:eastAsia="en-GB"/>
        </w:rPr>
      </w:pPr>
    </w:p>
    <w:p w:rsidR="0058263E" w:rsidRDefault="00981C73">
      <w:pPr>
        <w:spacing w:line="360" w:lineRule="auto"/>
        <w:ind w:left="567" w:hanging="567"/>
        <w:jc w:val="both"/>
        <w:rPr>
          <w:iCs/>
          <w:sz w:val="22"/>
          <w:szCs w:val="22"/>
          <w:lang w:eastAsia="en-GB"/>
        </w:rPr>
      </w:pPr>
      <w:r>
        <w:rPr>
          <w:iCs/>
          <w:sz w:val="22"/>
          <w:szCs w:val="22"/>
          <w:lang w:eastAsia="en-GB"/>
        </w:rPr>
        <w:t>4.16</w:t>
      </w:r>
      <w:r w:rsidR="00F13735">
        <w:rPr>
          <w:iCs/>
          <w:sz w:val="22"/>
          <w:szCs w:val="22"/>
          <w:lang w:eastAsia="en-GB"/>
        </w:rPr>
        <w:tab/>
      </w:r>
      <w:r w:rsidR="00F81752">
        <w:rPr>
          <w:iCs/>
          <w:sz w:val="22"/>
          <w:szCs w:val="22"/>
          <w:lang w:eastAsia="en-GB"/>
        </w:rPr>
        <w:t>The SSHD and SSJ</w:t>
      </w:r>
      <w:r w:rsidR="00F13735">
        <w:rPr>
          <w:iCs/>
          <w:sz w:val="22"/>
          <w:szCs w:val="22"/>
          <w:lang w:eastAsia="en-GB"/>
        </w:rPr>
        <w:t xml:space="preserve"> now respond in </w:t>
      </w:r>
      <w:proofErr w:type="spellStart"/>
      <w:r w:rsidR="00F13735">
        <w:rPr>
          <w:iCs/>
          <w:sz w:val="22"/>
          <w:szCs w:val="22"/>
          <w:lang w:eastAsia="en-GB"/>
        </w:rPr>
        <w:t>para</w:t>
      </w:r>
      <w:proofErr w:type="spellEnd"/>
      <w:r w:rsidR="00F13735">
        <w:rPr>
          <w:iCs/>
          <w:sz w:val="22"/>
          <w:szCs w:val="22"/>
          <w:lang w:eastAsia="en-GB"/>
        </w:rPr>
        <w:t xml:space="preserve">. 35 by submitting that any individual who has agreed to accept a caution/ warning will have been informed that it will form part of their criminal record and will be disclosed on criminal records checks, and thus </w:t>
      </w:r>
      <w:r w:rsidR="008D41A1" w:rsidRPr="008D41A1">
        <w:rPr>
          <w:i/>
          <w:iCs/>
          <w:sz w:val="22"/>
          <w:szCs w:val="22"/>
          <w:lang w:eastAsia="en-GB"/>
        </w:rPr>
        <w:t>“it is difficult to see how they could have any ‘reasonable expectation of privacy’ which is breached when a caution is disclosed in that way.”</w:t>
      </w:r>
      <w:r w:rsidR="00174FB1">
        <w:rPr>
          <w:i/>
          <w:iCs/>
          <w:sz w:val="22"/>
          <w:szCs w:val="22"/>
          <w:lang w:eastAsia="en-GB"/>
        </w:rPr>
        <w:t xml:space="preserve">  </w:t>
      </w:r>
      <w:r w:rsidR="00174FB1">
        <w:rPr>
          <w:iCs/>
          <w:sz w:val="22"/>
          <w:szCs w:val="22"/>
          <w:lang w:eastAsia="en-GB"/>
        </w:rPr>
        <w:t>The bare question of whether T had a reasonable expectation of privacy when the warning</w:t>
      </w:r>
      <w:r w:rsidR="00AA6F41">
        <w:rPr>
          <w:iCs/>
          <w:sz w:val="22"/>
          <w:szCs w:val="22"/>
          <w:lang w:eastAsia="en-GB"/>
        </w:rPr>
        <w:t>s were</w:t>
      </w:r>
      <w:r w:rsidR="00174FB1">
        <w:rPr>
          <w:iCs/>
          <w:sz w:val="22"/>
          <w:szCs w:val="22"/>
          <w:lang w:eastAsia="en-GB"/>
        </w:rPr>
        <w:t xml:space="preserve"> administered in 2002 is too simplistic and misleading in the context of this case, as the cumulative effect of the processes involves long-term and possibly permanent State control over a sensitive aspect of his past, which may permanently hamper his ability to secure employment.  The question of a ‘reasonable</w:t>
      </w:r>
      <w:r w:rsidR="00F13735">
        <w:rPr>
          <w:iCs/>
          <w:sz w:val="22"/>
          <w:szCs w:val="22"/>
          <w:lang w:eastAsia="en-GB"/>
        </w:rPr>
        <w:t xml:space="preserve"> </w:t>
      </w:r>
      <w:r w:rsidR="00174FB1">
        <w:rPr>
          <w:iCs/>
          <w:sz w:val="22"/>
          <w:szCs w:val="22"/>
          <w:lang w:eastAsia="en-GB"/>
        </w:rPr>
        <w:t xml:space="preserve">expectation of privacy’ was not applied or referred to by the Grand Chamber in </w:t>
      </w:r>
      <w:r w:rsidR="008D41A1" w:rsidRPr="008D41A1">
        <w:rPr>
          <w:i/>
          <w:iCs/>
          <w:sz w:val="22"/>
          <w:szCs w:val="22"/>
          <w:lang w:eastAsia="en-GB"/>
        </w:rPr>
        <w:t xml:space="preserve">S and </w:t>
      </w:r>
      <w:proofErr w:type="spellStart"/>
      <w:r w:rsidR="008D41A1" w:rsidRPr="008D41A1">
        <w:rPr>
          <w:i/>
          <w:iCs/>
          <w:sz w:val="22"/>
          <w:szCs w:val="22"/>
          <w:lang w:eastAsia="en-GB"/>
        </w:rPr>
        <w:t>Marper</w:t>
      </w:r>
      <w:proofErr w:type="spellEnd"/>
      <w:r w:rsidR="00174FB1">
        <w:rPr>
          <w:iCs/>
          <w:sz w:val="22"/>
          <w:szCs w:val="22"/>
          <w:lang w:eastAsia="en-GB"/>
        </w:rPr>
        <w:t xml:space="preserve">.  Further, </w:t>
      </w:r>
      <w:r>
        <w:rPr>
          <w:iCs/>
          <w:sz w:val="22"/>
          <w:szCs w:val="22"/>
          <w:lang w:eastAsia="en-GB"/>
        </w:rPr>
        <w:t xml:space="preserve">the discussion in </w:t>
      </w:r>
      <w:r w:rsidR="008D41A1" w:rsidRPr="008D41A1">
        <w:rPr>
          <w:i/>
          <w:iCs/>
          <w:sz w:val="22"/>
          <w:szCs w:val="22"/>
          <w:lang w:eastAsia="en-GB"/>
        </w:rPr>
        <w:t>Wood</w:t>
      </w:r>
      <w:r>
        <w:rPr>
          <w:iCs/>
          <w:sz w:val="22"/>
          <w:szCs w:val="22"/>
          <w:lang w:eastAsia="en-GB"/>
        </w:rPr>
        <w:t xml:space="preserve"> (at </w:t>
      </w:r>
      <w:proofErr w:type="spellStart"/>
      <w:r>
        <w:rPr>
          <w:iCs/>
          <w:sz w:val="22"/>
          <w:szCs w:val="22"/>
          <w:lang w:eastAsia="en-GB"/>
        </w:rPr>
        <w:t>paras</w:t>
      </w:r>
      <w:proofErr w:type="spellEnd"/>
      <w:r>
        <w:rPr>
          <w:iCs/>
          <w:sz w:val="22"/>
          <w:szCs w:val="22"/>
          <w:lang w:eastAsia="en-GB"/>
        </w:rPr>
        <w:t>. 22 and 24) concerned case law in relation to the taking of a photograph, rather than its retention/ storage/ subsequent use</w:t>
      </w:r>
      <w:r w:rsidR="00172BE7">
        <w:rPr>
          <w:iCs/>
          <w:sz w:val="22"/>
          <w:szCs w:val="22"/>
          <w:lang w:eastAsia="en-GB"/>
        </w:rPr>
        <w:t>, a very different context</w:t>
      </w:r>
      <w:r>
        <w:rPr>
          <w:iCs/>
          <w:sz w:val="22"/>
          <w:szCs w:val="22"/>
          <w:lang w:eastAsia="en-GB"/>
        </w:rPr>
        <w:t xml:space="preserve"> (</w:t>
      </w:r>
      <w:r w:rsidR="008D41A1" w:rsidRPr="008D41A1">
        <w:rPr>
          <w:i/>
          <w:iCs/>
          <w:sz w:val="22"/>
          <w:szCs w:val="22"/>
          <w:lang w:eastAsia="en-GB"/>
        </w:rPr>
        <w:t>Von Hannover/ Campbell/ Murray v. Big Pictures</w:t>
      </w:r>
      <w:r>
        <w:rPr>
          <w:iCs/>
          <w:sz w:val="22"/>
          <w:szCs w:val="22"/>
          <w:lang w:eastAsia="en-GB"/>
        </w:rPr>
        <w:t xml:space="preserve">).  </w:t>
      </w:r>
    </w:p>
    <w:p w:rsidR="0058263E" w:rsidRDefault="0058263E">
      <w:pPr>
        <w:spacing w:line="360" w:lineRule="auto"/>
        <w:ind w:left="567" w:hanging="567"/>
        <w:jc w:val="both"/>
        <w:rPr>
          <w:iCs/>
          <w:sz w:val="22"/>
          <w:szCs w:val="22"/>
          <w:lang w:eastAsia="en-GB"/>
        </w:rPr>
      </w:pPr>
    </w:p>
    <w:p w:rsidR="0058263E" w:rsidRDefault="00981C73">
      <w:pPr>
        <w:spacing w:line="360" w:lineRule="auto"/>
        <w:ind w:left="567" w:hanging="567"/>
        <w:jc w:val="both"/>
        <w:rPr>
          <w:iCs/>
          <w:sz w:val="22"/>
          <w:szCs w:val="22"/>
          <w:lang w:eastAsia="en-GB"/>
        </w:rPr>
      </w:pPr>
      <w:r>
        <w:rPr>
          <w:iCs/>
          <w:sz w:val="22"/>
          <w:szCs w:val="22"/>
          <w:lang w:eastAsia="en-GB"/>
        </w:rPr>
        <w:t>4.17</w:t>
      </w:r>
      <w:r>
        <w:rPr>
          <w:iCs/>
          <w:sz w:val="22"/>
          <w:szCs w:val="22"/>
          <w:lang w:eastAsia="en-GB"/>
        </w:rPr>
        <w:tab/>
        <w:t>If, contrary to these submissions, the Court does consider</w:t>
      </w:r>
      <w:r w:rsidR="00174FB1">
        <w:rPr>
          <w:iCs/>
          <w:sz w:val="22"/>
          <w:szCs w:val="22"/>
          <w:lang w:eastAsia="en-GB"/>
        </w:rPr>
        <w:t xml:space="preserve"> </w:t>
      </w:r>
      <w:r>
        <w:rPr>
          <w:iCs/>
          <w:sz w:val="22"/>
          <w:szCs w:val="22"/>
          <w:lang w:eastAsia="en-GB"/>
        </w:rPr>
        <w:t>that the question is whether T could be said to have had a reasonable expectation of privacy,</w:t>
      </w:r>
      <w:r w:rsidR="00F13735">
        <w:rPr>
          <w:iCs/>
          <w:sz w:val="22"/>
          <w:szCs w:val="22"/>
          <w:lang w:eastAsia="en-GB"/>
        </w:rPr>
        <w:t xml:space="preserve"> </w:t>
      </w:r>
      <w:r>
        <w:rPr>
          <w:iCs/>
          <w:sz w:val="22"/>
          <w:szCs w:val="22"/>
          <w:lang w:eastAsia="en-GB"/>
        </w:rPr>
        <w:t>it is submitted</w:t>
      </w:r>
      <w:r w:rsidR="00F6603B">
        <w:rPr>
          <w:iCs/>
          <w:sz w:val="22"/>
          <w:szCs w:val="22"/>
          <w:lang w:eastAsia="en-GB"/>
        </w:rPr>
        <w:t xml:space="preserve"> that </w:t>
      </w:r>
      <w:r w:rsidR="00AA6F41">
        <w:rPr>
          <w:iCs/>
          <w:sz w:val="22"/>
          <w:szCs w:val="22"/>
          <w:lang w:eastAsia="en-GB"/>
        </w:rPr>
        <w:t xml:space="preserve">he did.  The SSHD and SSJ suggest there was no reasonable expectation based on the </w:t>
      </w:r>
      <w:r w:rsidR="00F6603B">
        <w:rPr>
          <w:iCs/>
          <w:sz w:val="22"/>
          <w:szCs w:val="22"/>
          <w:lang w:eastAsia="en-GB"/>
        </w:rPr>
        <w:t>presumption that he at the age of 11 w</w:t>
      </w:r>
      <w:r w:rsidR="00AA6F41">
        <w:rPr>
          <w:iCs/>
          <w:sz w:val="22"/>
          <w:szCs w:val="22"/>
          <w:lang w:eastAsia="en-GB"/>
        </w:rPr>
        <w:t>ould have been</w:t>
      </w:r>
      <w:r w:rsidR="00F6603B">
        <w:rPr>
          <w:iCs/>
          <w:sz w:val="22"/>
          <w:szCs w:val="22"/>
          <w:lang w:eastAsia="en-GB"/>
        </w:rPr>
        <w:t xml:space="preserve"> informed that the warnings </w:t>
      </w:r>
      <w:r w:rsidR="00AA6F41">
        <w:rPr>
          <w:iCs/>
          <w:sz w:val="22"/>
          <w:szCs w:val="22"/>
          <w:lang w:eastAsia="en-GB"/>
        </w:rPr>
        <w:t>would</w:t>
      </w:r>
      <w:r w:rsidR="00B81992">
        <w:rPr>
          <w:iCs/>
          <w:sz w:val="22"/>
          <w:szCs w:val="22"/>
          <w:lang w:eastAsia="en-GB"/>
        </w:rPr>
        <w:t xml:space="preserve"> be disclosed on criminal records checks.</w:t>
      </w:r>
      <w:r w:rsidR="00C72050">
        <w:rPr>
          <w:iCs/>
          <w:sz w:val="22"/>
          <w:szCs w:val="22"/>
          <w:lang w:eastAsia="en-GB"/>
        </w:rPr>
        <w:t xml:space="preserve">  This is not a basis for permitting any disclosure under any CRB scheme in future, regardless of how it operates.  In considering whether T had a reasonable expectation of privacy assistance may be </w:t>
      </w:r>
      <w:r w:rsidR="00C72050">
        <w:rPr>
          <w:iCs/>
          <w:sz w:val="22"/>
          <w:szCs w:val="22"/>
          <w:lang w:eastAsia="en-GB"/>
        </w:rPr>
        <w:lastRenderedPageBreak/>
        <w:t>derived from Article 5 of the Data Protection Convention (particularly Article 5(e).  Article 5 provides that:</w:t>
      </w:r>
    </w:p>
    <w:p w:rsidR="0058263E" w:rsidRDefault="0058263E">
      <w:pPr>
        <w:spacing w:line="360" w:lineRule="auto"/>
        <w:ind w:left="567" w:hanging="567"/>
        <w:jc w:val="both"/>
        <w:rPr>
          <w:iCs/>
          <w:sz w:val="22"/>
          <w:szCs w:val="22"/>
          <w:lang w:eastAsia="en-GB"/>
        </w:rPr>
      </w:pPr>
    </w:p>
    <w:p w:rsidR="0058263E" w:rsidRDefault="00C72050">
      <w:pPr>
        <w:ind w:left="720" w:firstLine="720"/>
        <w:rPr>
          <w:b/>
          <w:bCs/>
          <w:i/>
          <w:sz w:val="22"/>
          <w:szCs w:val="22"/>
          <w:lang w:eastAsia="en-GB"/>
        </w:rPr>
      </w:pPr>
      <w:r>
        <w:rPr>
          <w:b/>
          <w:bCs/>
          <w:i/>
          <w:sz w:val="22"/>
          <w:szCs w:val="22"/>
          <w:lang w:eastAsia="en-GB"/>
        </w:rPr>
        <w:t>“</w:t>
      </w:r>
      <w:r w:rsidR="008D41A1" w:rsidRPr="008D41A1">
        <w:rPr>
          <w:b/>
          <w:bCs/>
          <w:i/>
          <w:sz w:val="22"/>
          <w:szCs w:val="22"/>
          <w:lang w:eastAsia="en-GB"/>
        </w:rPr>
        <w:t>Article 5 – Quality of data</w:t>
      </w:r>
    </w:p>
    <w:p w:rsidR="0058263E" w:rsidRDefault="008D41A1">
      <w:pPr>
        <w:ind w:left="720" w:firstLine="720"/>
        <w:rPr>
          <w:i/>
          <w:sz w:val="22"/>
          <w:szCs w:val="22"/>
          <w:lang w:eastAsia="en-GB"/>
        </w:rPr>
      </w:pPr>
      <w:r w:rsidRPr="008D41A1">
        <w:rPr>
          <w:i/>
          <w:sz w:val="22"/>
          <w:szCs w:val="22"/>
          <w:lang w:eastAsia="en-GB"/>
        </w:rPr>
        <w:t xml:space="preserve">Personal data undergoing automatic processing shall be: </w:t>
      </w:r>
    </w:p>
    <w:p w:rsidR="0058263E" w:rsidRDefault="00C72050">
      <w:pPr>
        <w:ind w:left="1440"/>
        <w:rPr>
          <w:i/>
          <w:sz w:val="22"/>
          <w:szCs w:val="22"/>
          <w:lang w:eastAsia="en-GB"/>
        </w:rPr>
      </w:pPr>
      <w:r>
        <w:rPr>
          <w:i/>
          <w:sz w:val="22"/>
          <w:szCs w:val="22"/>
          <w:lang w:eastAsia="en-GB"/>
        </w:rPr>
        <w:t>a.</w:t>
      </w:r>
      <w:r>
        <w:rPr>
          <w:i/>
          <w:sz w:val="22"/>
          <w:szCs w:val="22"/>
          <w:lang w:eastAsia="en-GB"/>
        </w:rPr>
        <w:tab/>
        <w:t xml:space="preserve"> </w:t>
      </w:r>
      <w:r w:rsidR="008D41A1" w:rsidRPr="008D41A1">
        <w:rPr>
          <w:i/>
          <w:sz w:val="22"/>
          <w:szCs w:val="22"/>
          <w:lang w:eastAsia="en-GB"/>
        </w:rPr>
        <w:t xml:space="preserve">obtained and processed fairly and lawfully; </w:t>
      </w:r>
    </w:p>
    <w:p w:rsidR="0058263E" w:rsidRDefault="00C72050">
      <w:pPr>
        <w:ind w:left="2160" w:hanging="720"/>
        <w:rPr>
          <w:i/>
          <w:sz w:val="22"/>
          <w:szCs w:val="22"/>
          <w:lang w:eastAsia="en-GB"/>
        </w:rPr>
      </w:pPr>
      <w:r>
        <w:rPr>
          <w:i/>
          <w:sz w:val="22"/>
          <w:szCs w:val="22"/>
          <w:lang w:eastAsia="en-GB"/>
        </w:rPr>
        <w:t>b.</w:t>
      </w:r>
      <w:r>
        <w:rPr>
          <w:i/>
          <w:sz w:val="22"/>
          <w:szCs w:val="22"/>
          <w:lang w:eastAsia="en-GB"/>
        </w:rPr>
        <w:tab/>
      </w:r>
      <w:r w:rsidR="008D41A1" w:rsidRPr="008D41A1">
        <w:rPr>
          <w:i/>
          <w:sz w:val="22"/>
          <w:szCs w:val="22"/>
          <w:lang w:eastAsia="en-GB"/>
        </w:rPr>
        <w:t>stored for specified and legitimate</w:t>
      </w:r>
      <w:r>
        <w:rPr>
          <w:i/>
          <w:sz w:val="22"/>
          <w:szCs w:val="22"/>
          <w:lang w:eastAsia="en-GB"/>
        </w:rPr>
        <w:t xml:space="preserve"> purposes and not used in a way </w:t>
      </w:r>
      <w:r w:rsidR="008D41A1" w:rsidRPr="008D41A1">
        <w:rPr>
          <w:i/>
          <w:sz w:val="22"/>
          <w:szCs w:val="22"/>
          <w:lang w:eastAsia="en-GB"/>
        </w:rPr>
        <w:t xml:space="preserve">incompatible with those purposes; </w:t>
      </w:r>
    </w:p>
    <w:p w:rsidR="0058263E" w:rsidRDefault="00C72050">
      <w:pPr>
        <w:ind w:left="2160" w:hanging="720"/>
        <w:rPr>
          <w:i/>
          <w:sz w:val="22"/>
          <w:szCs w:val="22"/>
          <w:lang w:eastAsia="en-GB"/>
        </w:rPr>
      </w:pPr>
      <w:r>
        <w:rPr>
          <w:i/>
          <w:sz w:val="22"/>
          <w:szCs w:val="22"/>
          <w:lang w:eastAsia="en-GB"/>
        </w:rPr>
        <w:t>c.</w:t>
      </w:r>
      <w:r>
        <w:rPr>
          <w:i/>
          <w:sz w:val="22"/>
          <w:szCs w:val="22"/>
          <w:lang w:eastAsia="en-GB"/>
        </w:rPr>
        <w:tab/>
      </w:r>
      <w:r w:rsidR="008D41A1" w:rsidRPr="008D41A1">
        <w:rPr>
          <w:i/>
          <w:sz w:val="22"/>
          <w:szCs w:val="22"/>
          <w:lang w:eastAsia="en-GB"/>
        </w:rPr>
        <w:t xml:space="preserve">adequate, relevant and not excessive in relation to the purposes for which they are stored; </w:t>
      </w:r>
    </w:p>
    <w:p w:rsidR="0058263E" w:rsidRDefault="00C72050">
      <w:pPr>
        <w:ind w:left="2160" w:hanging="720"/>
        <w:rPr>
          <w:i/>
          <w:sz w:val="22"/>
          <w:szCs w:val="22"/>
          <w:lang w:eastAsia="en-GB"/>
        </w:rPr>
      </w:pPr>
      <w:r>
        <w:rPr>
          <w:i/>
          <w:sz w:val="22"/>
          <w:szCs w:val="22"/>
          <w:lang w:eastAsia="en-GB"/>
        </w:rPr>
        <w:t>....</w:t>
      </w:r>
      <w:r w:rsidR="008D41A1" w:rsidRPr="008D41A1">
        <w:rPr>
          <w:i/>
          <w:sz w:val="22"/>
          <w:szCs w:val="22"/>
          <w:lang w:eastAsia="en-GB"/>
        </w:rPr>
        <w:t xml:space="preserve"> </w:t>
      </w:r>
    </w:p>
    <w:p w:rsidR="0058263E" w:rsidRDefault="00C72050">
      <w:pPr>
        <w:ind w:left="2160" w:hanging="720"/>
        <w:rPr>
          <w:i/>
          <w:sz w:val="22"/>
          <w:szCs w:val="22"/>
          <w:lang w:eastAsia="en-GB"/>
        </w:rPr>
      </w:pPr>
      <w:r>
        <w:rPr>
          <w:i/>
          <w:sz w:val="22"/>
          <w:szCs w:val="22"/>
          <w:lang w:eastAsia="en-GB"/>
        </w:rPr>
        <w:t xml:space="preserve">e. </w:t>
      </w:r>
      <w:r>
        <w:rPr>
          <w:i/>
          <w:sz w:val="22"/>
          <w:szCs w:val="22"/>
          <w:lang w:eastAsia="en-GB"/>
        </w:rPr>
        <w:tab/>
      </w:r>
      <w:r w:rsidR="008D41A1" w:rsidRPr="008D41A1">
        <w:rPr>
          <w:i/>
          <w:sz w:val="22"/>
          <w:szCs w:val="22"/>
          <w:lang w:eastAsia="en-GB"/>
        </w:rPr>
        <w:t>preserved in a form which permits identification of the data subjects for no longer than is required for the purpose for which those data are stored.</w:t>
      </w:r>
      <w:r>
        <w:rPr>
          <w:i/>
          <w:sz w:val="22"/>
          <w:szCs w:val="22"/>
          <w:lang w:eastAsia="en-GB"/>
        </w:rPr>
        <w:t>”</w:t>
      </w:r>
      <w:r w:rsidR="008D41A1" w:rsidRPr="008D41A1">
        <w:rPr>
          <w:i/>
          <w:sz w:val="22"/>
          <w:szCs w:val="22"/>
          <w:lang w:eastAsia="en-GB"/>
        </w:rPr>
        <w:t xml:space="preserve"> </w:t>
      </w:r>
    </w:p>
    <w:p w:rsidR="0058263E" w:rsidRDefault="00252630">
      <w:pPr>
        <w:spacing w:line="360" w:lineRule="auto"/>
        <w:ind w:left="567" w:hanging="567"/>
        <w:jc w:val="both"/>
        <w:rPr>
          <w:iCs/>
          <w:sz w:val="22"/>
          <w:szCs w:val="22"/>
          <w:lang w:eastAsia="en-GB"/>
        </w:rPr>
      </w:pPr>
      <w:r>
        <w:rPr>
          <w:iCs/>
          <w:sz w:val="22"/>
          <w:szCs w:val="22"/>
          <w:lang w:eastAsia="en-GB"/>
        </w:rPr>
        <w:t xml:space="preserve">  </w:t>
      </w:r>
      <w:r w:rsidR="00B81992">
        <w:rPr>
          <w:iCs/>
          <w:sz w:val="22"/>
          <w:szCs w:val="22"/>
          <w:lang w:eastAsia="en-GB"/>
        </w:rPr>
        <w:t xml:space="preserve">  </w:t>
      </w:r>
      <w:r w:rsidR="00AA6F41">
        <w:rPr>
          <w:iCs/>
          <w:sz w:val="22"/>
          <w:szCs w:val="22"/>
          <w:lang w:eastAsia="en-GB"/>
        </w:rPr>
        <w:t xml:space="preserve"> </w:t>
      </w:r>
      <w:r w:rsidR="00981C73">
        <w:rPr>
          <w:iCs/>
          <w:sz w:val="22"/>
          <w:szCs w:val="22"/>
          <w:lang w:eastAsia="en-GB"/>
        </w:rPr>
        <w:t xml:space="preserve"> </w:t>
      </w:r>
      <w:r w:rsidR="00F81752">
        <w:rPr>
          <w:iCs/>
          <w:sz w:val="22"/>
          <w:szCs w:val="22"/>
          <w:lang w:eastAsia="en-GB"/>
        </w:rPr>
        <w:t xml:space="preserve">  </w:t>
      </w:r>
      <w:r w:rsidR="00DC0F68">
        <w:rPr>
          <w:iCs/>
          <w:sz w:val="22"/>
          <w:szCs w:val="22"/>
          <w:lang w:eastAsia="en-GB"/>
        </w:rPr>
        <w:t xml:space="preserve"> </w:t>
      </w:r>
    </w:p>
    <w:p w:rsidR="0058263E" w:rsidRDefault="00C72050" w:rsidP="00172BE7">
      <w:pPr>
        <w:spacing w:line="360" w:lineRule="auto"/>
        <w:ind w:left="567" w:hanging="567"/>
        <w:jc w:val="both"/>
        <w:rPr>
          <w:iCs/>
          <w:sz w:val="22"/>
          <w:szCs w:val="22"/>
          <w:lang w:eastAsia="en-GB"/>
        </w:rPr>
      </w:pPr>
      <w:r>
        <w:rPr>
          <w:iCs/>
          <w:sz w:val="22"/>
          <w:szCs w:val="22"/>
          <w:lang w:eastAsia="en-GB"/>
        </w:rPr>
        <w:tab/>
        <w:t>Assistance may also be derived from the fact that</w:t>
      </w:r>
      <w:r w:rsidR="001E2C2A">
        <w:rPr>
          <w:iCs/>
          <w:sz w:val="22"/>
          <w:szCs w:val="22"/>
          <w:lang w:eastAsia="en-GB"/>
        </w:rPr>
        <w:t xml:space="preserve"> the warnings are spent, as submitted by Liberty.</w:t>
      </w:r>
    </w:p>
    <w:p w:rsidR="00433085" w:rsidRDefault="00433085" w:rsidP="00433085">
      <w:pPr>
        <w:spacing w:line="360" w:lineRule="auto"/>
        <w:ind w:left="1437" w:hanging="870"/>
        <w:jc w:val="both"/>
        <w:rPr>
          <w:iCs/>
          <w:sz w:val="22"/>
          <w:szCs w:val="22"/>
          <w:lang w:eastAsia="en-GB"/>
        </w:rPr>
      </w:pPr>
    </w:p>
    <w:p w:rsidR="0058263E" w:rsidRDefault="001E2C2A">
      <w:pPr>
        <w:spacing w:line="360" w:lineRule="auto"/>
        <w:ind w:left="567" w:hanging="567"/>
        <w:jc w:val="both"/>
        <w:rPr>
          <w:iCs/>
          <w:sz w:val="22"/>
          <w:szCs w:val="22"/>
          <w:lang w:eastAsia="en-GB"/>
        </w:rPr>
      </w:pPr>
      <w:r>
        <w:rPr>
          <w:iCs/>
          <w:sz w:val="22"/>
          <w:szCs w:val="22"/>
          <w:lang w:eastAsia="en-GB"/>
        </w:rPr>
        <w:t>4.18</w:t>
      </w:r>
      <w:r>
        <w:rPr>
          <w:iCs/>
          <w:sz w:val="22"/>
          <w:szCs w:val="22"/>
          <w:lang w:eastAsia="en-GB"/>
        </w:rPr>
        <w:tab/>
      </w:r>
      <w:r w:rsidR="00433085">
        <w:rPr>
          <w:iCs/>
          <w:sz w:val="22"/>
          <w:szCs w:val="22"/>
          <w:lang w:eastAsia="en-GB"/>
        </w:rPr>
        <w:t xml:space="preserve">Third, </w:t>
      </w:r>
      <w:r w:rsidR="00962B4B">
        <w:rPr>
          <w:iCs/>
          <w:sz w:val="22"/>
          <w:szCs w:val="22"/>
          <w:lang w:eastAsia="en-GB"/>
        </w:rPr>
        <w:t xml:space="preserve">Article 8(1) ensures the right to have one’s good name and reputation protected: see e.g. </w:t>
      </w:r>
      <w:proofErr w:type="spellStart"/>
      <w:r w:rsidR="00962B4B" w:rsidRPr="00433085">
        <w:rPr>
          <w:i/>
          <w:iCs/>
          <w:sz w:val="22"/>
          <w:szCs w:val="22"/>
          <w:lang w:eastAsia="en-GB"/>
        </w:rPr>
        <w:t>Turek</w:t>
      </w:r>
      <w:proofErr w:type="spellEnd"/>
      <w:r w:rsidR="00962B4B" w:rsidRPr="00433085">
        <w:rPr>
          <w:i/>
          <w:iCs/>
          <w:sz w:val="22"/>
          <w:szCs w:val="22"/>
          <w:lang w:eastAsia="en-GB"/>
        </w:rPr>
        <w:t xml:space="preserve"> v. Slovakia</w:t>
      </w:r>
      <w:r w:rsidR="00962B4B">
        <w:rPr>
          <w:iCs/>
          <w:sz w:val="22"/>
          <w:szCs w:val="22"/>
          <w:lang w:eastAsia="en-GB"/>
        </w:rPr>
        <w:t xml:space="preserve"> (2006) 44 EHRR 861, </w:t>
      </w:r>
      <w:proofErr w:type="spellStart"/>
      <w:r w:rsidR="00962B4B">
        <w:rPr>
          <w:iCs/>
          <w:sz w:val="22"/>
          <w:szCs w:val="22"/>
          <w:lang w:eastAsia="en-GB"/>
        </w:rPr>
        <w:t>para</w:t>
      </w:r>
      <w:proofErr w:type="spellEnd"/>
      <w:r w:rsidR="00962B4B">
        <w:rPr>
          <w:iCs/>
          <w:sz w:val="22"/>
          <w:szCs w:val="22"/>
          <w:lang w:eastAsia="en-GB"/>
        </w:rPr>
        <w:t xml:space="preserve">. 109; </w:t>
      </w:r>
      <w:r w:rsidR="00962B4B" w:rsidRPr="00433085">
        <w:rPr>
          <w:i/>
          <w:iCs/>
          <w:sz w:val="22"/>
          <w:szCs w:val="22"/>
          <w:lang w:eastAsia="en-GB"/>
        </w:rPr>
        <w:t>L</w:t>
      </w:r>
      <w:r w:rsidR="00962B4B">
        <w:rPr>
          <w:iCs/>
          <w:sz w:val="22"/>
          <w:szCs w:val="22"/>
          <w:lang w:eastAsia="en-GB"/>
        </w:rPr>
        <w:t xml:space="preserve">, per Lord Hope at </w:t>
      </w:r>
      <w:proofErr w:type="spellStart"/>
      <w:r w:rsidR="00962B4B">
        <w:rPr>
          <w:iCs/>
          <w:sz w:val="22"/>
          <w:szCs w:val="22"/>
          <w:lang w:eastAsia="en-GB"/>
        </w:rPr>
        <w:t>para</w:t>
      </w:r>
      <w:proofErr w:type="spellEnd"/>
      <w:r w:rsidR="00962B4B">
        <w:rPr>
          <w:iCs/>
          <w:sz w:val="22"/>
          <w:szCs w:val="22"/>
          <w:lang w:eastAsia="en-GB"/>
        </w:rPr>
        <w:t>. 24.  Whilst the case law primarily concerns disclosure of inaccurate information, and the right to make representations prior to disclosure, this aspect of Article 8(1) may also apply when the information is true but very outdated and irrelevant to the purpose of the disclosure.</w:t>
      </w:r>
    </w:p>
    <w:p w:rsidR="0058263E" w:rsidRDefault="0058263E">
      <w:pPr>
        <w:spacing w:line="360" w:lineRule="auto"/>
        <w:ind w:left="567" w:hanging="567"/>
        <w:jc w:val="both"/>
        <w:rPr>
          <w:iCs/>
          <w:sz w:val="22"/>
          <w:szCs w:val="22"/>
          <w:lang w:eastAsia="en-GB"/>
        </w:rPr>
      </w:pPr>
    </w:p>
    <w:p w:rsidR="0058263E" w:rsidRDefault="00962B4B">
      <w:pPr>
        <w:spacing w:line="360" w:lineRule="auto"/>
        <w:ind w:left="567" w:hanging="567"/>
        <w:jc w:val="both"/>
        <w:rPr>
          <w:iCs/>
          <w:sz w:val="22"/>
          <w:szCs w:val="22"/>
          <w:lang w:eastAsia="en-GB"/>
        </w:rPr>
      </w:pPr>
      <w:r>
        <w:rPr>
          <w:iCs/>
          <w:sz w:val="22"/>
          <w:szCs w:val="22"/>
          <w:lang w:eastAsia="en-GB"/>
        </w:rPr>
        <w:t>4.19</w:t>
      </w:r>
      <w:r>
        <w:rPr>
          <w:iCs/>
          <w:sz w:val="22"/>
          <w:szCs w:val="22"/>
          <w:lang w:eastAsia="en-GB"/>
        </w:rPr>
        <w:tab/>
        <w:t xml:space="preserve">Fourth, </w:t>
      </w:r>
      <w:r w:rsidR="001E2C2A">
        <w:rPr>
          <w:iCs/>
          <w:sz w:val="22"/>
          <w:szCs w:val="22"/>
          <w:lang w:eastAsia="en-GB"/>
        </w:rPr>
        <w:t>the potential impact upon T’s employment prospects lies within the scope of Article 8(1) – both his ability to secure work in his chosen field, and his interaction with his employer in the event that, despite the disclosure of his warnings, he secures work.  This plainly impacts upon his ‘zone of interaction’ with others (</w:t>
      </w:r>
      <w:r w:rsidR="008D41A1" w:rsidRPr="008D41A1">
        <w:rPr>
          <w:i/>
          <w:iCs/>
          <w:sz w:val="22"/>
          <w:szCs w:val="22"/>
          <w:lang w:eastAsia="en-GB"/>
        </w:rPr>
        <w:t>Von Hannover</w:t>
      </w:r>
      <w:r w:rsidR="001E2C2A">
        <w:rPr>
          <w:iCs/>
          <w:sz w:val="22"/>
          <w:szCs w:val="22"/>
          <w:lang w:eastAsia="en-GB"/>
        </w:rPr>
        <w:t xml:space="preserve">, </w:t>
      </w:r>
      <w:proofErr w:type="spellStart"/>
      <w:r w:rsidR="001E2C2A">
        <w:rPr>
          <w:iCs/>
          <w:sz w:val="22"/>
          <w:szCs w:val="22"/>
          <w:lang w:eastAsia="en-GB"/>
        </w:rPr>
        <w:t>para</w:t>
      </w:r>
      <w:proofErr w:type="spellEnd"/>
      <w:r w:rsidR="001E2C2A">
        <w:rPr>
          <w:iCs/>
          <w:sz w:val="22"/>
          <w:szCs w:val="22"/>
          <w:lang w:eastAsia="en-GB"/>
        </w:rPr>
        <w:t xml:space="preserve">. 50, and </w:t>
      </w:r>
      <w:r w:rsidR="008D41A1" w:rsidRPr="008D41A1">
        <w:rPr>
          <w:i/>
          <w:iCs/>
          <w:sz w:val="22"/>
          <w:szCs w:val="22"/>
          <w:lang w:eastAsia="en-GB"/>
        </w:rPr>
        <w:t>Wood</w:t>
      </w:r>
      <w:r w:rsidR="001E2C2A">
        <w:rPr>
          <w:iCs/>
          <w:sz w:val="22"/>
          <w:szCs w:val="22"/>
          <w:lang w:eastAsia="en-GB"/>
        </w:rPr>
        <w:t xml:space="preserve">, </w:t>
      </w:r>
      <w:proofErr w:type="spellStart"/>
      <w:r w:rsidR="001E2C2A">
        <w:rPr>
          <w:iCs/>
          <w:sz w:val="22"/>
          <w:szCs w:val="22"/>
          <w:lang w:eastAsia="en-GB"/>
        </w:rPr>
        <w:t>para</w:t>
      </w:r>
      <w:proofErr w:type="spellEnd"/>
      <w:r w:rsidR="001E2C2A">
        <w:rPr>
          <w:iCs/>
          <w:sz w:val="22"/>
          <w:szCs w:val="22"/>
          <w:lang w:eastAsia="en-GB"/>
        </w:rPr>
        <w:t xml:space="preserve">. 21), given the highly sensitive nature of the information involved and the potential stigma associated with having been involved in criminal behaviour.  </w:t>
      </w:r>
    </w:p>
    <w:p w:rsidR="0058263E" w:rsidRDefault="0058263E">
      <w:pPr>
        <w:spacing w:line="360" w:lineRule="auto"/>
        <w:ind w:left="567" w:hanging="567"/>
        <w:jc w:val="both"/>
        <w:rPr>
          <w:iCs/>
          <w:sz w:val="22"/>
          <w:szCs w:val="22"/>
          <w:lang w:eastAsia="en-GB"/>
        </w:rPr>
      </w:pPr>
    </w:p>
    <w:p w:rsidR="0058263E" w:rsidRDefault="00E57AEE">
      <w:pPr>
        <w:spacing w:line="360" w:lineRule="auto"/>
        <w:ind w:left="567" w:hanging="567"/>
        <w:jc w:val="both"/>
        <w:rPr>
          <w:iCs/>
          <w:sz w:val="22"/>
          <w:szCs w:val="22"/>
          <w:lang w:eastAsia="en-GB"/>
        </w:rPr>
      </w:pPr>
      <w:r>
        <w:rPr>
          <w:iCs/>
          <w:sz w:val="22"/>
          <w:szCs w:val="22"/>
          <w:lang w:eastAsia="en-GB"/>
        </w:rPr>
        <w:t>4.</w:t>
      </w:r>
      <w:r w:rsidR="00962B4B">
        <w:rPr>
          <w:iCs/>
          <w:sz w:val="22"/>
          <w:szCs w:val="22"/>
          <w:lang w:eastAsia="en-GB"/>
        </w:rPr>
        <w:t>20</w:t>
      </w:r>
      <w:r w:rsidR="00962B4B">
        <w:rPr>
          <w:iCs/>
          <w:sz w:val="22"/>
          <w:szCs w:val="22"/>
          <w:lang w:eastAsia="en-GB"/>
        </w:rPr>
        <w:tab/>
      </w:r>
      <w:r>
        <w:rPr>
          <w:iCs/>
          <w:sz w:val="22"/>
          <w:szCs w:val="22"/>
          <w:lang w:eastAsia="en-GB"/>
        </w:rPr>
        <w:t>E</w:t>
      </w:r>
      <w:r w:rsidR="00433085">
        <w:rPr>
          <w:iCs/>
          <w:sz w:val="22"/>
          <w:szCs w:val="22"/>
          <w:lang w:eastAsia="en-GB"/>
        </w:rPr>
        <w:t>xclusion of an individual from employment in his or her chosen field clearly lies within the scope of Article 8(1), given its</w:t>
      </w:r>
      <w:r w:rsidR="00DA5B17">
        <w:rPr>
          <w:iCs/>
          <w:sz w:val="22"/>
          <w:szCs w:val="22"/>
          <w:lang w:eastAsia="en-GB"/>
        </w:rPr>
        <w:t xml:space="preserve"> impact upon his or her ability to develop relationships with others</w:t>
      </w:r>
      <w:r w:rsidR="00433085">
        <w:rPr>
          <w:iCs/>
          <w:sz w:val="22"/>
          <w:szCs w:val="22"/>
          <w:lang w:eastAsia="en-GB"/>
        </w:rPr>
        <w:t xml:space="preserve"> (see e.g. </w:t>
      </w:r>
      <w:r w:rsidR="00433085" w:rsidRPr="00433085">
        <w:rPr>
          <w:i/>
          <w:iCs/>
          <w:sz w:val="22"/>
          <w:szCs w:val="22"/>
          <w:lang w:eastAsia="en-GB"/>
        </w:rPr>
        <w:t>L</w:t>
      </w:r>
      <w:r w:rsidR="00433085">
        <w:rPr>
          <w:iCs/>
          <w:sz w:val="22"/>
          <w:szCs w:val="22"/>
          <w:lang w:eastAsia="en-GB"/>
        </w:rPr>
        <w:t xml:space="preserve"> at </w:t>
      </w:r>
      <w:proofErr w:type="spellStart"/>
      <w:r w:rsidR="00433085">
        <w:rPr>
          <w:iCs/>
          <w:sz w:val="22"/>
          <w:szCs w:val="22"/>
          <w:lang w:eastAsia="en-GB"/>
        </w:rPr>
        <w:t>para</w:t>
      </w:r>
      <w:proofErr w:type="spellEnd"/>
      <w:r w:rsidR="00433085">
        <w:rPr>
          <w:iCs/>
          <w:sz w:val="22"/>
          <w:szCs w:val="22"/>
          <w:lang w:eastAsia="en-GB"/>
        </w:rPr>
        <w:t xml:space="preserve">. 24, citing </w:t>
      </w:r>
      <w:proofErr w:type="spellStart"/>
      <w:r w:rsidR="00433085" w:rsidRPr="00433085">
        <w:rPr>
          <w:i/>
          <w:iCs/>
          <w:sz w:val="22"/>
          <w:szCs w:val="22"/>
          <w:lang w:eastAsia="en-GB"/>
        </w:rPr>
        <w:t>Sidabras</w:t>
      </w:r>
      <w:proofErr w:type="spellEnd"/>
      <w:r w:rsidR="00433085" w:rsidRPr="00433085">
        <w:rPr>
          <w:i/>
          <w:iCs/>
          <w:sz w:val="22"/>
          <w:szCs w:val="22"/>
          <w:lang w:eastAsia="en-GB"/>
        </w:rPr>
        <w:t xml:space="preserve"> v. Lithuania</w:t>
      </w:r>
      <w:r w:rsidR="00433085">
        <w:rPr>
          <w:iCs/>
          <w:sz w:val="22"/>
          <w:szCs w:val="22"/>
          <w:lang w:eastAsia="en-GB"/>
        </w:rPr>
        <w:t xml:space="preserve"> (2004) 42 EHRR 104, </w:t>
      </w:r>
      <w:proofErr w:type="spellStart"/>
      <w:r w:rsidR="00433085">
        <w:rPr>
          <w:iCs/>
          <w:sz w:val="22"/>
          <w:szCs w:val="22"/>
          <w:lang w:eastAsia="en-GB"/>
        </w:rPr>
        <w:t>para</w:t>
      </w:r>
      <w:proofErr w:type="spellEnd"/>
      <w:r w:rsidR="00433085">
        <w:rPr>
          <w:iCs/>
          <w:sz w:val="22"/>
          <w:szCs w:val="22"/>
          <w:lang w:eastAsia="en-GB"/>
        </w:rPr>
        <w:t>. 48).</w:t>
      </w:r>
      <w:r w:rsidR="00DA5B17">
        <w:rPr>
          <w:iCs/>
          <w:sz w:val="22"/>
          <w:szCs w:val="22"/>
          <w:lang w:eastAsia="en-GB"/>
        </w:rPr>
        <w:t xml:space="preserve">  Automatic disclosure of adverse past information to a prospective employer, whilst not amounting to an automatic exclusion, differs only in terms of degree – it still involves the release of information which impacts upon the individual’s ability to develop relationships with others.  It provides the prospective employer with historical adverse information about the individual, which may be very outdated, have no relevance to the individual’s current circumstances or the role in question, and </w:t>
      </w:r>
      <w:r w:rsidR="00DA5B17">
        <w:rPr>
          <w:iCs/>
          <w:sz w:val="22"/>
          <w:szCs w:val="22"/>
          <w:lang w:eastAsia="en-GB"/>
        </w:rPr>
        <w:lastRenderedPageBreak/>
        <w:t xml:space="preserve">despite the fact that there may be no particular reason for it to be disclosed (beyond the general application of a blanket rule).  Even if the individual secures the job, despite the employer learning of this information, the employer is then aware of the historical adverse information.  The distinction of degree between an automatic exclusion from employment and the situation which arises here is a matter for consideration under Article 8(2), it is submitted, rather than a reason why Article 8(1) does not even apply.   </w:t>
      </w:r>
      <w:r w:rsidR="00433085">
        <w:rPr>
          <w:iCs/>
          <w:sz w:val="22"/>
          <w:szCs w:val="22"/>
          <w:lang w:eastAsia="en-GB"/>
        </w:rPr>
        <w:t xml:space="preserve"> </w:t>
      </w:r>
    </w:p>
    <w:p w:rsidR="001E2C2A" w:rsidRDefault="001E2C2A" w:rsidP="00172BE7">
      <w:pPr>
        <w:spacing w:line="360" w:lineRule="auto"/>
        <w:jc w:val="both"/>
        <w:rPr>
          <w:iCs/>
          <w:sz w:val="22"/>
          <w:szCs w:val="22"/>
          <w:lang w:eastAsia="en-GB"/>
        </w:rPr>
      </w:pPr>
    </w:p>
    <w:p w:rsidR="00701A72" w:rsidRPr="00FB05D4" w:rsidRDefault="00DA5B17" w:rsidP="00DA5B17">
      <w:pPr>
        <w:spacing w:line="360" w:lineRule="auto"/>
        <w:ind w:left="567" w:hanging="567"/>
        <w:jc w:val="both"/>
        <w:rPr>
          <w:iCs/>
          <w:sz w:val="22"/>
          <w:szCs w:val="22"/>
          <w:lang w:eastAsia="en-GB"/>
        </w:rPr>
      </w:pPr>
      <w:r>
        <w:rPr>
          <w:iCs/>
          <w:sz w:val="22"/>
          <w:szCs w:val="22"/>
          <w:lang w:eastAsia="en-GB"/>
        </w:rPr>
        <w:t>4.</w:t>
      </w:r>
      <w:r w:rsidR="00962B4B">
        <w:rPr>
          <w:iCs/>
          <w:sz w:val="22"/>
          <w:szCs w:val="22"/>
          <w:lang w:eastAsia="en-GB"/>
        </w:rPr>
        <w:t>21</w:t>
      </w:r>
      <w:r>
        <w:rPr>
          <w:iCs/>
          <w:sz w:val="22"/>
          <w:szCs w:val="22"/>
          <w:lang w:eastAsia="en-GB"/>
        </w:rPr>
        <w:tab/>
      </w:r>
      <w:r w:rsidR="00701A72">
        <w:rPr>
          <w:iCs/>
          <w:sz w:val="22"/>
          <w:szCs w:val="22"/>
          <w:lang w:eastAsia="en-GB"/>
        </w:rPr>
        <w:t xml:space="preserve">The First Respondent in </w:t>
      </w:r>
      <w:proofErr w:type="spellStart"/>
      <w:r w:rsidR="00701A72">
        <w:rPr>
          <w:iCs/>
          <w:sz w:val="22"/>
          <w:szCs w:val="22"/>
          <w:lang w:eastAsia="en-GB"/>
        </w:rPr>
        <w:t>paras</w:t>
      </w:r>
      <w:proofErr w:type="spellEnd"/>
      <w:r w:rsidR="00701A72">
        <w:rPr>
          <w:iCs/>
          <w:sz w:val="22"/>
          <w:szCs w:val="22"/>
          <w:lang w:eastAsia="en-GB"/>
        </w:rPr>
        <w:t>. 26 –</w:t>
      </w:r>
      <w:r w:rsidR="00FB05D4">
        <w:rPr>
          <w:iCs/>
          <w:sz w:val="22"/>
          <w:szCs w:val="22"/>
          <w:lang w:eastAsia="en-GB"/>
        </w:rPr>
        <w:t xml:space="preserve"> 28 of his Skeleton does not accept that Article 8(1) applies to T’s case.  At </w:t>
      </w:r>
      <w:proofErr w:type="spellStart"/>
      <w:r w:rsidR="00FB05D4">
        <w:rPr>
          <w:iCs/>
          <w:sz w:val="22"/>
          <w:szCs w:val="22"/>
          <w:lang w:eastAsia="en-GB"/>
        </w:rPr>
        <w:t>para</w:t>
      </w:r>
      <w:proofErr w:type="spellEnd"/>
      <w:r w:rsidR="00FB05D4">
        <w:rPr>
          <w:iCs/>
          <w:sz w:val="22"/>
          <w:szCs w:val="22"/>
          <w:lang w:eastAsia="en-GB"/>
        </w:rPr>
        <w:t>. 26 he submits that:</w:t>
      </w:r>
    </w:p>
    <w:p w:rsidR="00701A72" w:rsidRPr="00FB05D4" w:rsidRDefault="00701A72" w:rsidP="00FB05D4">
      <w:pPr>
        <w:ind w:left="567" w:right="1134" w:hanging="567"/>
        <w:jc w:val="both"/>
        <w:rPr>
          <w:i/>
          <w:iCs/>
          <w:sz w:val="22"/>
          <w:szCs w:val="22"/>
          <w:lang w:eastAsia="en-GB"/>
        </w:rPr>
      </w:pPr>
      <w:r>
        <w:rPr>
          <w:iCs/>
          <w:sz w:val="22"/>
          <w:szCs w:val="22"/>
          <w:lang w:eastAsia="en-GB"/>
        </w:rPr>
        <w:tab/>
      </w:r>
      <w:r>
        <w:rPr>
          <w:iCs/>
          <w:sz w:val="22"/>
          <w:szCs w:val="22"/>
          <w:lang w:eastAsia="en-GB"/>
        </w:rPr>
        <w:tab/>
      </w:r>
      <w:r>
        <w:rPr>
          <w:iCs/>
          <w:sz w:val="22"/>
          <w:szCs w:val="22"/>
          <w:lang w:eastAsia="en-GB"/>
        </w:rPr>
        <w:tab/>
      </w:r>
    </w:p>
    <w:p w:rsidR="00701A72" w:rsidRPr="00FB05D4" w:rsidRDefault="00701A72" w:rsidP="00FB05D4">
      <w:pPr>
        <w:ind w:left="1287" w:right="1134" w:firstLine="153"/>
        <w:jc w:val="both"/>
        <w:rPr>
          <w:i/>
          <w:iCs/>
          <w:sz w:val="22"/>
          <w:szCs w:val="22"/>
          <w:lang w:eastAsia="en-GB"/>
        </w:rPr>
      </w:pPr>
      <w:r w:rsidRPr="00FB05D4">
        <w:rPr>
          <w:i/>
          <w:iCs/>
          <w:sz w:val="22"/>
          <w:szCs w:val="22"/>
          <w:lang w:eastAsia="en-GB"/>
        </w:rPr>
        <w:t>“</w:t>
      </w:r>
      <w:r w:rsidR="00FB05D4" w:rsidRPr="00FB05D4">
        <w:rPr>
          <w:i/>
          <w:iCs/>
          <w:sz w:val="22"/>
          <w:szCs w:val="22"/>
          <w:lang w:eastAsia="en-GB"/>
        </w:rPr>
        <w:t>For Article 8 to apply in this case, the disclosure must actually interfere with the Appellant’s public life.  It is submitted that in the context of this case the disclosure must actually have a significant impact upon the Appellant’s ability to obtain employment.”</w:t>
      </w:r>
    </w:p>
    <w:p w:rsidR="00FB05D4" w:rsidRDefault="00FB05D4" w:rsidP="00FB05D4">
      <w:pPr>
        <w:spacing w:line="360" w:lineRule="auto"/>
        <w:jc w:val="both"/>
        <w:rPr>
          <w:iCs/>
          <w:sz w:val="22"/>
          <w:szCs w:val="22"/>
          <w:lang w:eastAsia="en-GB"/>
        </w:rPr>
      </w:pPr>
    </w:p>
    <w:p w:rsidR="00962B4B" w:rsidRDefault="00DA5B17" w:rsidP="00962B4B">
      <w:pPr>
        <w:spacing w:line="360" w:lineRule="auto"/>
        <w:ind w:left="567" w:hanging="567"/>
        <w:jc w:val="both"/>
        <w:rPr>
          <w:iCs/>
          <w:sz w:val="22"/>
          <w:szCs w:val="22"/>
          <w:lang w:eastAsia="en-GB"/>
        </w:rPr>
      </w:pPr>
      <w:r>
        <w:rPr>
          <w:iCs/>
          <w:sz w:val="22"/>
          <w:szCs w:val="22"/>
          <w:lang w:eastAsia="en-GB"/>
        </w:rPr>
        <w:t>4.</w:t>
      </w:r>
      <w:r w:rsidR="00962B4B">
        <w:rPr>
          <w:iCs/>
          <w:sz w:val="22"/>
          <w:szCs w:val="22"/>
          <w:lang w:eastAsia="en-GB"/>
        </w:rPr>
        <w:t>22</w:t>
      </w:r>
      <w:r w:rsidR="00FB05D4">
        <w:rPr>
          <w:iCs/>
          <w:sz w:val="22"/>
          <w:szCs w:val="22"/>
          <w:lang w:eastAsia="en-GB"/>
        </w:rPr>
        <w:tab/>
        <w:t>The Commission respectfully submits that</w:t>
      </w:r>
      <w:r w:rsidR="00487E1B">
        <w:rPr>
          <w:iCs/>
          <w:sz w:val="22"/>
          <w:szCs w:val="22"/>
          <w:lang w:eastAsia="en-GB"/>
        </w:rPr>
        <w:t xml:space="preserve"> </w:t>
      </w:r>
      <w:r w:rsidR="00FB05D4">
        <w:rPr>
          <w:iCs/>
          <w:sz w:val="22"/>
          <w:szCs w:val="22"/>
          <w:lang w:eastAsia="en-GB"/>
        </w:rPr>
        <w:t xml:space="preserve">this is </w:t>
      </w:r>
      <w:r w:rsidR="00962B4B">
        <w:rPr>
          <w:iCs/>
          <w:sz w:val="22"/>
          <w:szCs w:val="22"/>
          <w:lang w:eastAsia="en-GB"/>
        </w:rPr>
        <w:t xml:space="preserve">simply </w:t>
      </w:r>
      <w:r w:rsidR="00FB05D4">
        <w:rPr>
          <w:iCs/>
          <w:sz w:val="22"/>
          <w:szCs w:val="22"/>
          <w:lang w:eastAsia="en-GB"/>
        </w:rPr>
        <w:t>not the appropriate test to apply in determining whether or not Article 8(1) is applicable</w:t>
      </w:r>
      <w:r>
        <w:rPr>
          <w:iCs/>
          <w:sz w:val="22"/>
          <w:szCs w:val="22"/>
          <w:lang w:eastAsia="en-GB"/>
        </w:rPr>
        <w:t xml:space="preserve">. </w:t>
      </w:r>
      <w:r w:rsidR="00962B4B">
        <w:rPr>
          <w:iCs/>
          <w:sz w:val="22"/>
          <w:szCs w:val="22"/>
          <w:lang w:eastAsia="en-GB"/>
        </w:rPr>
        <w:t xml:space="preserve"> It has no basis in the applicable case law from the </w:t>
      </w:r>
      <w:proofErr w:type="spellStart"/>
      <w:r w:rsidR="00962B4B">
        <w:rPr>
          <w:iCs/>
          <w:sz w:val="22"/>
          <w:szCs w:val="22"/>
          <w:lang w:eastAsia="en-GB"/>
        </w:rPr>
        <w:t>ECtHR</w:t>
      </w:r>
      <w:proofErr w:type="spellEnd"/>
      <w:r w:rsidR="00962B4B">
        <w:rPr>
          <w:iCs/>
          <w:sz w:val="22"/>
          <w:szCs w:val="22"/>
          <w:lang w:eastAsia="en-GB"/>
        </w:rPr>
        <w:t xml:space="preserve"> or the domestic courts.  </w:t>
      </w:r>
      <w:r>
        <w:rPr>
          <w:iCs/>
          <w:sz w:val="22"/>
          <w:szCs w:val="22"/>
          <w:lang w:eastAsia="en-GB"/>
        </w:rPr>
        <w:t>It fails to even address the first t</w:t>
      </w:r>
      <w:r w:rsidR="00962B4B">
        <w:rPr>
          <w:iCs/>
          <w:sz w:val="22"/>
          <w:szCs w:val="22"/>
          <w:lang w:eastAsia="en-GB"/>
        </w:rPr>
        <w:t>hree</w:t>
      </w:r>
      <w:r>
        <w:rPr>
          <w:iCs/>
          <w:sz w:val="22"/>
          <w:szCs w:val="22"/>
          <w:lang w:eastAsia="en-GB"/>
        </w:rPr>
        <w:t xml:space="preserve"> aspects of Article 8(1) summarised above, </w:t>
      </w:r>
      <w:r w:rsidR="00962B4B">
        <w:rPr>
          <w:iCs/>
          <w:sz w:val="22"/>
          <w:szCs w:val="22"/>
          <w:lang w:eastAsia="en-GB"/>
        </w:rPr>
        <w:t>and deals solely with the</w:t>
      </w:r>
      <w:r w:rsidR="00172BE7">
        <w:rPr>
          <w:iCs/>
          <w:sz w:val="22"/>
          <w:szCs w:val="22"/>
          <w:lang w:eastAsia="en-GB"/>
        </w:rPr>
        <w:t xml:space="preserve"> fourth aspect, the</w:t>
      </w:r>
      <w:r w:rsidR="00962B4B">
        <w:rPr>
          <w:iCs/>
          <w:sz w:val="22"/>
          <w:szCs w:val="22"/>
          <w:lang w:eastAsia="en-GB"/>
        </w:rPr>
        <w:t xml:space="preserve"> question of impact upon T’s employment prospects</w:t>
      </w:r>
      <w:r>
        <w:rPr>
          <w:iCs/>
          <w:sz w:val="22"/>
          <w:szCs w:val="22"/>
          <w:lang w:eastAsia="en-GB"/>
        </w:rPr>
        <w:t>.</w:t>
      </w:r>
      <w:r w:rsidR="00962B4B">
        <w:rPr>
          <w:iCs/>
          <w:sz w:val="22"/>
          <w:szCs w:val="22"/>
          <w:lang w:eastAsia="en-GB"/>
        </w:rPr>
        <w:t xml:space="preserve">  There is no answer within the First Respondent’s submissions to the other aspects of Article 8(1).</w:t>
      </w:r>
      <w:r>
        <w:rPr>
          <w:iCs/>
          <w:sz w:val="22"/>
          <w:szCs w:val="22"/>
          <w:lang w:eastAsia="en-GB"/>
        </w:rPr>
        <w:t xml:space="preserve">  </w:t>
      </w:r>
    </w:p>
    <w:p w:rsidR="00AB666F" w:rsidRDefault="00AB666F" w:rsidP="00962B4B">
      <w:pPr>
        <w:spacing w:line="360" w:lineRule="auto"/>
        <w:ind w:left="567" w:hanging="567"/>
        <w:jc w:val="both"/>
        <w:rPr>
          <w:iCs/>
          <w:sz w:val="22"/>
          <w:szCs w:val="22"/>
          <w:lang w:eastAsia="en-GB"/>
        </w:rPr>
      </w:pPr>
    </w:p>
    <w:p w:rsidR="00DA5B17" w:rsidRDefault="00AB666F" w:rsidP="00AB666F">
      <w:pPr>
        <w:spacing w:line="360" w:lineRule="auto"/>
        <w:ind w:left="567" w:hanging="567"/>
        <w:jc w:val="both"/>
        <w:rPr>
          <w:iCs/>
          <w:sz w:val="22"/>
          <w:szCs w:val="22"/>
          <w:lang w:eastAsia="en-GB"/>
        </w:rPr>
      </w:pPr>
      <w:r>
        <w:rPr>
          <w:iCs/>
          <w:sz w:val="22"/>
          <w:szCs w:val="22"/>
          <w:lang w:eastAsia="en-GB"/>
        </w:rPr>
        <w:t>4.23</w:t>
      </w:r>
      <w:r>
        <w:rPr>
          <w:iCs/>
          <w:sz w:val="22"/>
          <w:szCs w:val="22"/>
          <w:lang w:eastAsia="en-GB"/>
        </w:rPr>
        <w:tab/>
      </w:r>
      <w:r w:rsidR="00DA5B17">
        <w:rPr>
          <w:iCs/>
          <w:sz w:val="22"/>
          <w:szCs w:val="22"/>
          <w:lang w:eastAsia="en-GB"/>
        </w:rPr>
        <w:t xml:space="preserve">As regards the </w:t>
      </w:r>
      <w:r>
        <w:rPr>
          <w:iCs/>
          <w:sz w:val="22"/>
          <w:szCs w:val="22"/>
          <w:lang w:eastAsia="en-GB"/>
        </w:rPr>
        <w:t>employment aspect</w:t>
      </w:r>
      <w:r w:rsidR="00DA5B17">
        <w:rPr>
          <w:iCs/>
          <w:sz w:val="22"/>
          <w:szCs w:val="22"/>
          <w:lang w:eastAsia="en-GB"/>
        </w:rPr>
        <w:t xml:space="preserve">, the Commission submits that: </w:t>
      </w:r>
    </w:p>
    <w:p w:rsidR="00DA5B17" w:rsidRDefault="00DA5B17" w:rsidP="00DA5B17">
      <w:pPr>
        <w:spacing w:line="360" w:lineRule="auto"/>
        <w:ind w:firstLine="567"/>
        <w:jc w:val="both"/>
        <w:rPr>
          <w:iCs/>
          <w:sz w:val="22"/>
          <w:szCs w:val="22"/>
          <w:lang w:eastAsia="en-GB"/>
        </w:rPr>
      </w:pPr>
    </w:p>
    <w:p w:rsidR="00DA5B17" w:rsidRDefault="00DA5B17" w:rsidP="00DA5B17">
      <w:pPr>
        <w:spacing w:line="360" w:lineRule="auto"/>
        <w:ind w:left="1440" w:hanging="720"/>
        <w:jc w:val="both"/>
        <w:rPr>
          <w:iCs/>
          <w:sz w:val="22"/>
          <w:szCs w:val="22"/>
          <w:lang w:eastAsia="en-GB"/>
        </w:rPr>
      </w:pPr>
      <w:r>
        <w:rPr>
          <w:iCs/>
          <w:sz w:val="22"/>
          <w:szCs w:val="22"/>
          <w:lang w:eastAsia="en-GB"/>
        </w:rPr>
        <w:t>(</w:t>
      </w:r>
      <w:proofErr w:type="spellStart"/>
      <w:r>
        <w:rPr>
          <w:iCs/>
          <w:sz w:val="22"/>
          <w:szCs w:val="22"/>
          <w:lang w:eastAsia="en-GB"/>
        </w:rPr>
        <w:t>i</w:t>
      </w:r>
      <w:proofErr w:type="spellEnd"/>
      <w:r>
        <w:rPr>
          <w:iCs/>
          <w:sz w:val="22"/>
          <w:szCs w:val="22"/>
          <w:lang w:eastAsia="en-GB"/>
        </w:rPr>
        <w:t xml:space="preserve">) </w:t>
      </w:r>
      <w:r>
        <w:rPr>
          <w:iCs/>
          <w:sz w:val="22"/>
          <w:szCs w:val="22"/>
          <w:lang w:eastAsia="en-GB"/>
        </w:rPr>
        <w:tab/>
        <w:t>The First Respondent wrongly conflates Article 8(2) issues, concerning the proportionality of an interference, with the question of whether there has been an interference under Article 8(1) in the first instance</w:t>
      </w:r>
      <w:r w:rsidR="00AB666F">
        <w:rPr>
          <w:iCs/>
          <w:sz w:val="22"/>
          <w:szCs w:val="22"/>
          <w:lang w:eastAsia="en-GB"/>
        </w:rPr>
        <w:t>.  An interference with Article 8(1) caused by disclosure of adverse historical information in an ECRC may be slight or grave, depending upon the circumstances of the case</w:t>
      </w:r>
      <w:r>
        <w:rPr>
          <w:iCs/>
          <w:sz w:val="22"/>
          <w:szCs w:val="22"/>
          <w:lang w:eastAsia="en-GB"/>
        </w:rPr>
        <w:t>;</w:t>
      </w:r>
    </w:p>
    <w:p w:rsidR="00DA5B17" w:rsidRDefault="00DA5B17" w:rsidP="00DA5B17">
      <w:pPr>
        <w:spacing w:line="360" w:lineRule="auto"/>
        <w:ind w:left="720"/>
        <w:jc w:val="both"/>
        <w:rPr>
          <w:iCs/>
          <w:sz w:val="22"/>
          <w:szCs w:val="22"/>
          <w:lang w:eastAsia="en-GB"/>
        </w:rPr>
      </w:pPr>
    </w:p>
    <w:p w:rsidR="0065321E" w:rsidRDefault="0065321E" w:rsidP="0065321E">
      <w:pPr>
        <w:spacing w:line="360" w:lineRule="auto"/>
        <w:ind w:left="1440" w:hanging="720"/>
        <w:jc w:val="both"/>
        <w:rPr>
          <w:iCs/>
          <w:sz w:val="22"/>
          <w:szCs w:val="22"/>
          <w:lang w:eastAsia="en-GB"/>
        </w:rPr>
      </w:pPr>
      <w:r>
        <w:rPr>
          <w:iCs/>
          <w:sz w:val="22"/>
          <w:szCs w:val="22"/>
          <w:lang w:eastAsia="en-GB"/>
        </w:rPr>
        <w:t>(ii)</w:t>
      </w:r>
      <w:r>
        <w:rPr>
          <w:iCs/>
          <w:sz w:val="22"/>
          <w:szCs w:val="22"/>
          <w:lang w:eastAsia="en-GB"/>
        </w:rPr>
        <w:tab/>
      </w:r>
      <w:r w:rsidR="00DA5B17">
        <w:rPr>
          <w:iCs/>
          <w:sz w:val="22"/>
          <w:szCs w:val="22"/>
          <w:lang w:eastAsia="en-GB"/>
        </w:rPr>
        <w:t>The First Respondent’s proposed test of ‘significant impact’</w:t>
      </w:r>
      <w:r>
        <w:rPr>
          <w:iCs/>
          <w:sz w:val="22"/>
          <w:szCs w:val="22"/>
          <w:lang w:eastAsia="en-GB"/>
        </w:rPr>
        <w:t xml:space="preserve"> upon T’s ability to obtain employment is an impossible one to apply, as the blanket scheme which is challenged will continue to apply to all relevant jobs in future, and the question of whether disclosure of his warning from 2002 will have a significant impact upon his ability to secure any such jobs is speculative;</w:t>
      </w:r>
    </w:p>
    <w:p w:rsidR="0065321E" w:rsidRDefault="0065321E" w:rsidP="0065321E">
      <w:pPr>
        <w:spacing w:line="360" w:lineRule="auto"/>
        <w:ind w:left="1440" w:hanging="720"/>
        <w:jc w:val="both"/>
        <w:rPr>
          <w:iCs/>
          <w:sz w:val="22"/>
          <w:szCs w:val="22"/>
          <w:lang w:eastAsia="en-GB"/>
        </w:rPr>
      </w:pPr>
    </w:p>
    <w:p w:rsidR="0065321E" w:rsidRDefault="0065321E" w:rsidP="0065321E">
      <w:pPr>
        <w:spacing w:line="360" w:lineRule="auto"/>
        <w:ind w:left="1440" w:hanging="720"/>
        <w:jc w:val="both"/>
        <w:rPr>
          <w:iCs/>
          <w:sz w:val="22"/>
          <w:szCs w:val="22"/>
          <w:lang w:eastAsia="en-GB"/>
        </w:rPr>
      </w:pPr>
      <w:r>
        <w:rPr>
          <w:iCs/>
          <w:sz w:val="22"/>
          <w:szCs w:val="22"/>
          <w:lang w:eastAsia="en-GB"/>
        </w:rPr>
        <w:lastRenderedPageBreak/>
        <w:t>(iii)</w:t>
      </w:r>
      <w:r>
        <w:rPr>
          <w:iCs/>
          <w:sz w:val="22"/>
          <w:szCs w:val="22"/>
          <w:lang w:eastAsia="en-GB"/>
        </w:rPr>
        <w:tab/>
        <w:t>The First Respondent does not address the question of whether, even if a job is secured, disclosure of irrelevant adverse historical information regarding T to prospective employers may nevertheless impact upon his ability to establish and develop relationships with his employer(s)</w:t>
      </w:r>
      <w:r w:rsidR="00AB666F">
        <w:rPr>
          <w:iCs/>
          <w:sz w:val="22"/>
          <w:szCs w:val="22"/>
          <w:lang w:eastAsia="en-GB"/>
        </w:rPr>
        <w:t>, and thus upon his zone of interaction with others – now clearly established as a fundamental aspect of Article 8</w:t>
      </w:r>
      <w:r>
        <w:rPr>
          <w:iCs/>
          <w:sz w:val="22"/>
          <w:szCs w:val="22"/>
          <w:lang w:eastAsia="en-GB"/>
        </w:rPr>
        <w:t xml:space="preserve">.   </w:t>
      </w:r>
    </w:p>
    <w:p w:rsidR="00DA5B17" w:rsidRDefault="00DA5B17" w:rsidP="0065321E">
      <w:pPr>
        <w:spacing w:line="360" w:lineRule="auto"/>
        <w:jc w:val="both"/>
        <w:rPr>
          <w:iCs/>
          <w:sz w:val="22"/>
          <w:szCs w:val="22"/>
          <w:lang w:eastAsia="en-GB"/>
        </w:rPr>
      </w:pPr>
    </w:p>
    <w:p w:rsidR="00FB05D4" w:rsidRDefault="0065321E" w:rsidP="00AB666F">
      <w:pPr>
        <w:spacing w:line="360" w:lineRule="auto"/>
        <w:ind w:left="720" w:hanging="720"/>
        <w:jc w:val="both"/>
        <w:rPr>
          <w:iCs/>
          <w:sz w:val="22"/>
          <w:szCs w:val="22"/>
          <w:lang w:eastAsia="en-GB"/>
        </w:rPr>
      </w:pPr>
      <w:r>
        <w:rPr>
          <w:iCs/>
          <w:sz w:val="22"/>
          <w:szCs w:val="22"/>
          <w:lang w:eastAsia="en-GB"/>
        </w:rPr>
        <w:t>4.</w:t>
      </w:r>
      <w:r w:rsidR="00AB666F">
        <w:rPr>
          <w:iCs/>
          <w:sz w:val="22"/>
          <w:szCs w:val="22"/>
          <w:lang w:eastAsia="en-GB"/>
        </w:rPr>
        <w:t>24</w:t>
      </w:r>
      <w:r>
        <w:rPr>
          <w:iCs/>
          <w:sz w:val="22"/>
          <w:szCs w:val="22"/>
          <w:lang w:eastAsia="en-GB"/>
        </w:rPr>
        <w:tab/>
      </w:r>
      <w:r w:rsidR="00FB05D4">
        <w:rPr>
          <w:iCs/>
          <w:sz w:val="22"/>
          <w:szCs w:val="22"/>
          <w:lang w:eastAsia="en-GB"/>
        </w:rPr>
        <w:t xml:space="preserve">The SSHD and SSJ sensibly accept, at </w:t>
      </w:r>
      <w:proofErr w:type="spellStart"/>
      <w:r w:rsidR="00FB05D4">
        <w:rPr>
          <w:iCs/>
          <w:sz w:val="22"/>
          <w:szCs w:val="22"/>
          <w:lang w:eastAsia="en-GB"/>
        </w:rPr>
        <w:t>para</w:t>
      </w:r>
      <w:proofErr w:type="spellEnd"/>
      <w:r w:rsidR="00FB05D4">
        <w:rPr>
          <w:iCs/>
          <w:sz w:val="22"/>
          <w:szCs w:val="22"/>
          <w:lang w:eastAsia="en-GB"/>
        </w:rPr>
        <w:t xml:space="preserve">. 33 of their Skeleton, that the relevant provisions of the 1997 Act are </w:t>
      </w:r>
      <w:r w:rsidR="00FB05D4" w:rsidRPr="0065321E">
        <w:rPr>
          <w:i/>
          <w:iCs/>
          <w:sz w:val="22"/>
          <w:szCs w:val="22"/>
          <w:lang w:eastAsia="en-GB"/>
        </w:rPr>
        <w:t>“capable of interfering with the right to respect for private life in Article 8(1)</w:t>
      </w:r>
      <w:r w:rsidRPr="0065321E">
        <w:rPr>
          <w:i/>
          <w:iCs/>
          <w:sz w:val="22"/>
          <w:szCs w:val="22"/>
          <w:lang w:eastAsia="en-GB"/>
        </w:rPr>
        <w:t xml:space="preserve"> in certain cases,”</w:t>
      </w:r>
      <w:r>
        <w:rPr>
          <w:iCs/>
          <w:sz w:val="22"/>
          <w:szCs w:val="22"/>
          <w:lang w:eastAsia="en-GB"/>
        </w:rPr>
        <w:t xml:space="preserve"> but they again suggest that T has not in fact been hampered by the scheme (</w:t>
      </w:r>
      <w:proofErr w:type="spellStart"/>
      <w:r>
        <w:rPr>
          <w:iCs/>
          <w:sz w:val="22"/>
          <w:szCs w:val="22"/>
          <w:lang w:eastAsia="en-GB"/>
        </w:rPr>
        <w:t>para</w:t>
      </w:r>
      <w:proofErr w:type="spellEnd"/>
      <w:r>
        <w:rPr>
          <w:iCs/>
          <w:sz w:val="22"/>
          <w:szCs w:val="22"/>
          <w:lang w:eastAsia="en-GB"/>
        </w:rPr>
        <w:t xml:space="preserve">. 34: </w:t>
      </w:r>
      <w:r w:rsidRPr="0065321E">
        <w:rPr>
          <w:i/>
          <w:iCs/>
          <w:sz w:val="22"/>
          <w:szCs w:val="22"/>
          <w:lang w:eastAsia="en-GB"/>
        </w:rPr>
        <w:t>“no recent application for employment, able to complete college course”</w:t>
      </w:r>
      <w:r>
        <w:rPr>
          <w:iCs/>
          <w:sz w:val="22"/>
          <w:szCs w:val="22"/>
          <w:lang w:eastAsia="en-GB"/>
        </w:rPr>
        <w:t>).  Aga</w:t>
      </w:r>
      <w:r w:rsidR="00172BE7">
        <w:rPr>
          <w:iCs/>
          <w:sz w:val="22"/>
          <w:szCs w:val="22"/>
          <w:lang w:eastAsia="en-GB"/>
        </w:rPr>
        <w:t>in, this does not address any</w:t>
      </w:r>
      <w:r>
        <w:rPr>
          <w:iCs/>
          <w:sz w:val="22"/>
          <w:szCs w:val="22"/>
          <w:lang w:eastAsia="en-GB"/>
        </w:rPr>
        <w:t xml:space="preserve"> of the first t</w:t>
      </w:r>
      <w:r w:rsidR="00AB666F">
        <w:rPr>
          <w:iCs/>
          <w:sz w:val="22"/>
          <w:szCs w:val="22"/>
          <w:lang w:eastAsia="en-GB"/>
        </w:rPr>
        <w:t>hree</w:t>
      </w:r>
      <w:r>
        <w:rPr>
          <w:iCs/>
          <w:sz w:val="22"/>
          <w:szCs w:val="22"/>
          <w:lang w:eastAsia="en-GB"/>
        </w:rPr>
        <w:t xml:space="preserve"> </w:t>
      </w:r>
      <w:r w:rsidR="00172BE7">
        <w:rPr>
          <w:iCs/>
          <w:sz w:val="22"/>
          <w:szCs w:val="22"/>
          <w:lang w:eastAsia="en-GB"/>
        </w:rPr>
        <w:t xml:space="preserve">relevant </w:t>
      </w:r>
      <w:r>
        <w:rPr>
          <w:iCs/>
          <w:sz w:val="22"/>
          <w:szCs w:val="22"/>
          <w:lang w:eastAsia="en-GB"/>
        </w:rPr>
        <w:t xml:space="preserve">aspects of Article 8(1), referred to above; and it fails to adequately address the </w:t>
      </w:r>
      <w:r w:rsidR="00AB666F">
        <w:rPr>
          <w:iCs/>
          <w:sz w:val="22"/>
          <w:szCs w:val="22"/>
          <w:lang w:eastAsia="en-GB"/>
        </w:rPr>
        <w:t xml:space="preserve">employment </w:t>
      </w:r>
      <w:r>
        <w:rPr>
          <w:iCs/>
          <w:sz w:val="22"/>
          <w:szCs w:val="22"/>
          <w:lang w:eastAsia="en-GB"/>
        </w:rPr>
        <w:t>aspect, given the ongoing application of the scheme to T</w:t>
      </w:r>
      <w:r w:rsidR="00AB666F">
        <w:rPr>
          <w:iCs/>
          <w:sz w:val="22"/>
          <w:szCs w:val="22"/>
          <w:lang w:eastAsia="en-GB"/>
        </w:rPr>
        <w:t xml:space="preserve">; </w:t>
      </w:r>
      <w:r>
        <w:rPr>
          <w:iCs/>
          <w:sz w:val="22"/>
          <w:szCs w:val="22"/>
          <w:lang w:eastAsia="en-GB"/>
        </w:rPr>
        <w:t>the likelihood that it will hamper his prospects in terms of future job applications</w:t>
      </w:r>
      <w:r w:rsidR="00AB666F">
        <w:rPr>
          <w:iCs/>
          <w:sz w:val="22"/>
          <w:szCs w:val="22"/>
          <w:lang w:eastAsia="en-GB"/>
        </w:rPr>
        <w:t>; and the impact of disclosure of this information upon his interaction with employers even in the event that he secures work</w:t>
      </w:r>
      <w:r>
        <w:rPr>
          <w:iCs/>
          <w:sz w:val="22"/>
          <w:szCs w:val="22"/>
          <w:lang w:eastAsia="en-GB"/>
        </w:rPr>
        <w:t>.</w:t>
      </w:r>
    </w:p>
    <w:p w:rsidR="0065321E" w:rsidRDefault="0065321E" w:rsidP="0065321E">
      <w:pPr>
        <w:spacing w:line="360" w:lineRule="auto"/>
        <w:ind w:left="720" w:hanging="720"/>
        <w:jc w:val="both"/>
        <w:rPr>
          <w:iCs/>
          <w:sz w:val="22"/>
          <w:szCs w:val="22"/>
          <w:lang w:eastAsia="en-GB"/>
        </w:rPr>
      </w:pPr>
    </w:p>
    <w:p w:rsidR="0065321E" w:rsidRPr="0065321E" w:rsidRDefault="0065321E" w:rsidP="0065321E">
      <w:pPr>
        <w:spacing w:line="360" w:lineRule="auto"/>
        <w:ind w:left="720" w:hanging="720"/>
        <w:jc w:val="both"/>
        <w:rPr>
          <w:b/>
          <w:i/>
          <w:iCs/>
          <w:sz w:val="22"/>
          <w:szCs w:val="22"/>
          <w:lang w:eastAsia="en-GB"/>
        </w:rPr>
      </w:pPr>
      <w:r w:rsidRPr="0065321E">
        <w:rPr>
          <w:b/>
          <w:i/>
          <w:iCs/>
          <w:sz w:val="22"/>
          <w:szCs w:val="22"/>
          <w:lang w:eastAsia="en-GB"/>
        </w:rPr>
        <w:tab/>
        <w:t>Article 8(2)</w:t>
      </w:r>
    </w:p>
    <w:p w:rsidR="00316DCE" w:rsidRPr="003B3C35" w:rsidRDefault="0065321E" w:rsidP="0065321E">
      <w:pPr>
        <w:spacing w:line="360" w:lineRule="auto"/>
        <w:ind w:left="720" w:hanging="720"/>
        <w:jc w:val="both"/>
        <w:rPr>
          <w:iCs/>
          <w:sz w:val="22"/>
          <w:szCs w:val="22"/>
          <w:lang w:eastAsia="en-GB"/>
        </w:rPr>
      </w:pPr>
      <w:r>
        <w:rPr>
          <w:iCs/>
          <w:sz w:val="22"/>
          <w:szCs w:val="22"/>
          <w:lang w:eastAsia="en-GB"/>
        </w:rPr>
        <w:t>4.</w:t>
      </w:r>
      <w:r w:rsidR="00AB666F">
        <w:rPr>
          <w:iCs/>
          <w:sz w:val="22"/>
          <w:szCs w:val="22"/>
          <w:lang w:eastAsia="en-GB"/>
        </w:rPr>
        <w:t>25</w:t>
      </w:r>
      <w:r>
        <w:rPr>
          <w:iCs/>
          <w:sz w:val="22"/>
          <w:szCs w:val="22"/>
          <w:lang w:eastAsia="en-GB"/>
        </w:rPr>
        <w:tab/>
        <w:t xml:space="preserve">As Article 8 is a qualified right, </w:t>
      </w:r>
      <w:r w:rsidR="00316DCE" w:rsidRPr="003B3C35">
        <w:rPr>
          <w:sz w:val="22"/>
          <w:szCs w:val="22"/>
        </w:rPr>
        <w:t>in determining whether an interference with Article 8(1) rights is justified under Article 8(2) a tripartite test is to be applied:</w:t>
      </w:r>
    </w:p>
    <w:p w:rsidR="00316DCE" w:rsidRDefault="00316DCE" w:rsidP="00316DCE">
      <w:pPr>
        <w:pStyle w:val="ListParagraph"/>
        <w:tabs>
          <w:tab w:val="left" w:pos="540"/>
        </w:tabs>
        <w:spacing w:line="360" w:lineRule="auto"/>
        <w:ind w:left="1440"/>
        <w:jc w:val="both"/>
        <w:rPr>
          <w:sz w:val="22"/>
          <w:szCs w:val="22"/>
        </w:rPr>
      </w:pPr>
      <w:r>
        <w:rPr>
          <w:sz w:val="22"/>
          <w:szCs w:val="22"/>
        </w:rPr>
        <w:t xml:space="preserve">(1) </w:t>
      </w:r>
      <w:r w:rsidRPr="00563770">
        <w:rPr>
          <w:sz w:val="22"/>
          <w:szCs w:val="22"/>
        </w:rPr>
        <w:t>Is the interference prescribed by law?</w:t>
      </w:r>
    </w:p>
    <w:p w:rsidR="00316DCE" w:rsidRDefault="00316DCE" w:rsidP="00316DCE">
      <w:pPr>
        <w:pStyle w:val="ListParagraph"/>
        <w:tabs>
          <w:tab w:val="left" w:pos="540"/>
        </w:tabs>
        <w:spacing w:line="360" w:lineRule="auto"/>
        <w:ind w:left="1440"/>
        <w:jc w:val="both"/>
        <w:rPr>
          <w:sz w:val="22"/>
          <w:szCs w:val="22"/>
        </w:rPr>
      </w:pPr>
      <w:r>
        <w:rPr>
          <w:sz w:val="22"/>
          <w:szCs w:val="22"/>
        </w:rPr>
        <w:t>(2)</w:t>
      </w:r>
      <w:r w:rsidRPr="00563770">
        <w:rPr>
          <w:sz w:val="22"/>
          <w:szCs w:val="22"/>
        </w:rPr>
        <w:t>Does it pursue a legitimate aim?</w:t>
      </w:r>
    </w:p>
    <w:p w:rsidR="00316DCE" w:rsidRPr="00226F89" w:rsidRDefault="00316DCE" w:rsidP="00316DCE">
      <w:pPr>
        <w:pStyle w:val="ListParagraph"/>
        <w:numPr>
          <w:ilvl w:val="0"/>
          <w:numId w:val="19"/>
        </w:numPr>
        <w:tabs>
          <w:tab w:val="left" w:pos="540"/>
        </w:tabs>
        <w:spacing w:line="360" w:lineRule="auto"/>
        <w:jc w:val="both"/>
        <w:rPr>
          <w:sz w:val="22"/>
          <w:szCs w:val="22"/>
        </w:rPr>
      </w:pPr>
      <w:r w:rsidRPr="00563770">
        <w:rPr>
          <w:sz w:val="22"/>
          <w:szCs w:val="22"/>
        </w:rPr>
        <w:t>Is the interference, in all the circumstances</w:t>
      </w:r>
      <w:r w:rsidRPr="00226F89">
        <w:rPr>
          <w:i/>
          <w:sz w:val="22"/>
          <w:szCs w:val="22"/>
        </w:rPr>
        <w:t>, “necessary in a democratic society”?</w:t>
      </w:r>
      <w:r>
        <w:rPr>
          <w:sz w:val="22"/>
          <w:szCs w:val="22"/>
        </w:rPr>
        <w:t xml:space="preserve">  This incorporates the requirements that </w:t>
      </w:r>
      <w:r w:rsidRPr="00226F89">
        <w:rPr>
          <w:sz w:val="22"/>
          <w:szCs w:val="22"/>
        </w:rPr>
        <w:t xml:space="preserve">the restriction fulfils a </w:t>
      </w:r>
      <w:r w:rsidRPr="00226F89">
        <w:rPr>
          <w:i/>
          <w:sz w:val="22"/>
          <w:szCs w:val="22"/>
        </w:rPr>
        <w:t>“pressing social need”</w:t>
      </w:r>
      <w:r w:rsidRPr="00226F89">
        <w:rPr>
          <w:sz w:val="22"/>
          <w:szCs w:val="22"/>
        </w:rPr>
        <w:t>;</w:t>
      </w:r>
      <w:r>
        <w:rPr>
          <w:sz w:val="22"/>
          <w:szCs w:val="22"/>
        </w:rPr>
        <w:t xml:space="preserve"> is proportionate; and the measure adopted is the </w:t>
      </w:r>
      <w:r w:rsidRPr="00226F89">
        <w:rPr>
          <w:i/>
          <w:sz w:val="22"/>
          <w:szCs w:val="22"/>
        </w:rPr>
        <w:t>“least restrictive means”</w:t>
      </w:r>
      <w:r>
        <w:rPr>
          <w:sz w:val="22"/>
          <w:szCs w:val="22"/>
        </w:rPr>
        <w:t xml:space="preserve"> of achieving the legitimate objective pursued (i.e. if there is an alternative, less intrusive way of achieving the same aim then that alternative measure should be used).</w:t>
      </w:r>
    </w:p>
    <w:p w:rsidR="00316DCE" w:rsidRDefault="00316DCE" w:rsidP="00316DCE">
      <w:pPr>
        <w:tabs>
          <w:tab w:val="left" w:pos="540"/>
        </w:tabs>
        <w:spacing w:line="360" w:lineRule="auto"/>
        <w:jc w:val="both"/>
        <w:rPr>
          <w:sz w:val="22"/>
          <w:szCs w:val="22"/>
        </w:rPr>
      </w:pPr>
    </w:p>
    <w:p w:rsidR="003814D1" w:rsidRDefault="0065321E" w:rsidP="0065321E">
      <w:pPr>
        <w:tabs>
          <w:tab w:val="left" w:pos="540"/>
        </w:tabs>
        <w:spacing w:line="360" w:lineRule="auto"/>
        <w:ind w:left="540" w:hanging="540"/>
        <w:jc w:val="both"/>
        <w:rPr>
          <w:sz w:val="22"/>
          <w:szCs w:val="22"/>
          <w:lang w:eastAsia="en-GB"/>
        </w:rPr>
      </w:pPr>
      <w:r>
        <w:rPr>
          <w:sz w:val="22"/>
          <w:szCs w:val="22"/>
        </w:rPr>
        <w:t>4.</w:t>
      </w:r>
      <w:r w:rsidR="00AB666F">
        <w:rPr>
          <w:sz w:val="22"/>
          <w:szCs w:val="22"/>
        </w:rPr>
        <w:t>26</w:t>
      </w:r>
      <w:r>
        <w:rPr>
          <w:sz w:val="22"/>
          <w:szCs w:val="22"/>
        </w:rPr>
        <w:tab/>
        <w:t xml:space="preserve">The </w:t>
      </w:r>
      <w:r w:rsidR="00316DCE" w:rsidRPr="0065321E">
        <w:rPr>
          <w:sz w:val="22"/>
          <w:szCs w:val="22"/>
        </w:rPr>
        <w:t xml:space="preserve">Commission </w:t>
      </w:r>
      <w:r w:rsidR="00B0147D" w:rsidRPr="0065321E">
        <w:rPr>
          <w:sz w:val="22"/>
          <w:szCs w:val="22"/>
          <w:lang w:eastAsia="en-GB"/>
        </w:rPr>
        <w:t>accept</w:t>
      </w:r>
      <w:r w:rsidR="00316DCE" w:rsidRPr="0065321E">
        <w:rPr>
          <w:sz w:val="22"/>
          <w:szCs w:val="22"/>
          <w:lang w:eastAsia="en-GB"/>
        </w:rPr>
        <w:t>s</w:t>
      </w:r>
      <w:r w:rsidR="00B0147D" w:rsidRPr="0065321E">
        <w:rPr>
          <w:sz w:val="22"/>
          <w:szCs w:val="22"/>
          <w:lang w:eastAsia="en-GB"/>
        </w:rPr>
        <w:t xml:space="preserve"> that </w:t>
      </w:r>
      <w:r w:rsidR="00231F58">
        <w:rPr>
          <w:sz w:val="22"/>
          <w:szCs w:val="22"/>
          <w:lang w:eastAsia="en-GB"/>
        </w:rPr>
        <w:t xml:space="preserve">the first and second limbs of this test are satisfied.  The interference is prescribed by law; and </w:t>
      </w:r>
      <w:r w:rsidR="00B0147D" w:rsidRPr="0065321E">
        <w:rPr>
          <w:sz w:val="22"/>
          <w:szCs w:val="22"/>
          <w:lang w:eastAsia="en-GB"/>
        </w:rPr>
        <w:t xml:space="preserve">disclosure under the </w:t>
      </w:r>
      <w:r w:rsidR="00231F58">
        <w:rPr>
          <w:sz w:val="22"/>
          <w:szCs w:val="22"/>
          <w:lang w:eastAsia="en-GB"/>
        </w:rPr>
        <w:t>legislative scheme</w:t>
      </w:r>
      <w:r w:rsidR="00B0147D" w:rsidRPr="0065321E">
        <w:rPr>
          <w:sz w:val="22"/>
          <w:szCs w:val="22"/>
          <w:lang w:eastAsia="en-GB"/>
        </w:rPr>
        <w:t xml:space="preserve"> serves to promote an important goal of public policy, namely, safeguarding children and vulnerable adults.</w:t>
      </w:r>
      <w:r w:rsidR="003814D1">
        <w:rPr>
          <w:sz w:val="22"/>
          <w:szCs w:val="22"/>
          <w:lang w:eastAsia="en-GB"/>
        </w:rPr>
        <w:t xml:space="preserve">  It is noted that the bulk of the submissions made by the First Respondent concerning Article 8(2) relate to the first two limbs of Article 8(2)</w:t>
      </w:r>
      <w:r w:rsidR="00B0147D" w:rsidRPr="0065321E">
        <w:rPr>
          <w:sz w:val="22"/>
          <w:szCs w:val="22"/>
          <w:lang w:eastAsia="en-GB"/>
        </w:rPr>
        <w:t xml:space="preserve"> </w:t>
      </w:r>
      <w:r w:rsidR="003814D1">
        <w:rPr>
          <w:sz w:val="22"/>
          <w:szCs w:val="22"/>
          <w:lang w:eastAsia="en-GB"/>
        </w:rPr>
        <w:t xml:space="preserve">(Skeleton, </w:t>
      </w:r>
      <w:proofErr w:type="spellStart"/>
      <w:r w:rsidR="003814D1">
        <w:rPr>
          <w:sz w:val="22"/>
          <w:szCs w:val="22"/>
          <w:lang w:eastAsia="en-GB"/>
        </w:rPr>
        <w:t>paras</w:t>
      </w:r>
      <w:proofErr w:type="spellEnd"/>
      <w:r w:rsidR="003814D1">
        <w:rPr>
          <w:sz w:val="22"/>
          <w:szCs w:val="22"/>
          <w:lang w:eastAsia="en-GB"/>
        </w:rPr>
        <w:t>. 29 – 42).</w:t>
      </w:r>
      <w:r w:rsidR="00B0147D" w:rsidRPr="0065321E">
        <w:rPr>
          <w:sz w:val="22"/>
          <w:szCs w:val="22"/>
          <w:lang w:eastAsia="en-GB"/>
        </w:rPr>
        <w:t xml:space="preserve"> </w:t>
      </w:r>
    </w:p>
    <w:p w:rsidR="003814D1" w:rsidRDefault="003814D1" w:rsidP="0065321E">
      <w:pPr>
        <w:tabs>
          <w:tab w:val="left" w:pos="540"/>
        </w:tabs>
        <w:spacing w:line="360" w:lineRule="auto"/>
        <w:ind w:left="540" w:hanging="540"/>
        <w:jc w:val="both"/>
        <w:rPr>
          <w:sz w:val="22"/>
          <w:szCs w:val="22"/>
          <w:lang w:eastAsia="en-GB"/>
        </w:rPr>
      </w:pPr>
    </w:p>
    <w:p w:rsidR="0065321E" w:rsidRDefault="003814D1" w:rsidP="0065321E">
      <w:pPr>
        <w:tabs>
          <w:tab w:val="left" w:pos="540"/>
        </w:tabs>
        <w:spacing w:line="360" w:lineRule="auto"/>
        <w:ind w:left="540" w:hanging="540"/>
        <w:jc w:val="both"/>
        <w:rPr>
          <w:sz w:val="22"/>
          <w:szCs w:val="22"/>
          <w:lang w:eastAsia="en-GB"/>
        </w:rPr>
      </w:pPr>
      <w:r>
        <w:rPr>
          <w:sz w:val="22"/>
          <w:szCs w:val="22"/>
          <w:lang w:eastAsia="en-GB"/>
        </w:rPr>
        <w:lastRenderedPageBreak/>
        <w:t>4.</w:t>
      </w:r>
      <w:r w:rsidR="00AB666F">
        <w:rPr>
          <w:sz w:val="22"/>
          <w:szCs w:val="22"/>
          <w:lang w:eastAsia="en-GB"/>
        </w:rPr>
        <w:t>27</w:t>
      </w:r>
      <w:r>
        <w:rPr>
          <w:sz w:val="22"/>
          <w:szCs w:val="22"/>
          <w:lang w:eastAsia="en-GB"/>
        </w:rPr>
        <w:tab/>
      </w:r>
      <w:r w:rsidR="00B0147D" w:rsidRPr="0065321E">
        <w:rPr>
          <w:sz w:val="22"/>
          <w:szCs w:val="22"/>
          <w:lang w:eastAsia="en-GB"/>
        </w:rPr>
        <w:t xml:space="preserve">However </w:t>
      </w:r>
      <w:r w:rsidR="0065321E">
        <w:rPr>
          <w:sz w:val="22"/>
          <w:szCs w:val="22"/>
          <w:lang w:eastAsia="en-GB"/>
        </w:rPr>
        <w:t xml:space="preserve">the Commission </w:t>
      </w:r>
      <w:r w:rsidR="00231F58">
        <w:rPr>
          <w:sz w:val="22"/>
          <w:szCs w:val="22"/>
          <w:lang w:eastAsia="en-GB"/>
        </w:rPr>
        <w:t xml:space="preserve">submits </w:t>
      </w:r>
      <w:r w:rsidR="0065321E">
        <w:rPr>
          <w:sz w:val="22"/>
          <w:szCs w:val="22"/>
          <w:lang w:eastAsia="en-GB"/>
        </w:rPr>
        <w:t xml:space="preserve">that </w:t>
      </w:r>
      <w:r w:rsidR="00231F58">
        <w:rPr>
          <w:sz w:val="22"/>
          <w:szCs w:val="22"/>
          <w:lang w:eastAsia="en-GB"/>
        </w:rPr>
        <w:t>the third requirement is plainly not satisfied in the present appeal.  The Respondents have failed to discharge the burden placed upon them, to justify the interference and demonstrate that it is necessary in a democratic society</w:t>
      </w:r>
      <w:r w:rsidR="00AB666F">
        <w:rPr>
          <w:sz w:val="22"/>
          <w:szCs w:val="22"/>
          <w:lang w:eastAsia="en-GB"/>
        </w:rPr>
        <w:t xml:space="preserve"> – an express requirement of Article 8(2)</w:t>
      </w:r>
      <w:r w:rsidR="00231F58">
        <w:rPr>
          <w:sz w:val="22"/>
          <w:szCs w:val="22"/>
          <w:lang w:eastAsia="en-GB"/>
        </w:rPr>
        <w:t>.  In particular, the Commission submits that the s. 113B ECRC scheme is a wholly disproportionate response to the legitimate aim in question, and it is not the least restrictive means of achieving that aim.</w:t>
      </w:r>
      <w:r>
        <w:rPr>
          <w:sz w:val="22"/>
          <w:szCs w:val="22"/>
          <w:lang w:eastAsia="en-GB"/>
        </w:rPr>
        <w:t xml:space="preserve">  </w:t>
      </w:r>
    </w:p>
    <w:p w:rsidR="00E63019" w:rsidRDefault="00E63019" w:rsidP="0065321E">
      <w:pPr>
        <w:tabs>
          <w:tab w:val="left" w:pos="540"/>
        </w:tabs>
        <w:spacing w:line="360" w:lineRule="auto"/>
        <w:ind w:left="540" w:hanging="540"/>
        <w:jc w:val="both"/>
        <w:rPr>
          <w:sz w:val="22"/>
          <w:szCs w:val="22"/>
          <w:lang w:eastAsia="en-GB"/>
        </w:rPr>
      </w:pPr>
    </w:p>
    <w:p w:rsidR="00FA20B7" w:rsidRDefault="00E63019" w:rsidP="00FA20B7">
      <w:pPr>
        <w:tabs>
          <w:tab w:val="left" w:pos="540"/>
        </w:tabs>
        <w:spacing w:line="360" w:lineRule="auto"/>
        <w:ind w:left="540" w:hanging="540"/>
        <w:jc w:val="both"/>
        <w:rPr>
          <w:sz w:val="22"/>
          <w:szCs w:val="22"/>
        </w:rPr>
      </w:pPr>
      <w:r>
        <w:rPr>
          <w:sz w:val="22"/>
          <w:szCs w:val="22"/>
          <w:lang w:eastAsia="en-GB"/>
        </w:rPr>
        <w:t>4.</w:t>
      </w:r>
      <w:r w:rsidR="00AB666F">
        <w:rPr>
          <w:sz w:val="22"/>
          <w:szCs w:val="22"/>
          <w:lang w:eastAsia="en-GB"/>
        </w:rPr>
        <w:t>28</w:t>
      </w:r>
      <w:r>
        <w:rPr>
          <w:sz w:val="22"/>
          <w:szCs w:val="22"/>
          <w:lang w:eastAsia="en-GB"/>
        </w:rPr>
        <w:tab/>
      </w:r>
      <w:r w:rsidR="00A749D9">
        <w:rPr>
          <w:sz w:val="22"/>
          <w:szCs w:val="22"/>
          <w:lang w:eastAsia="en-GB"/>
        </w:rPr>
        <w:t xml:space="preserve">The Commission </w:t>
      </w:r>
      <w:r w:rsidR="00A749D9" w:rsidRPr="00A749D9">
        <w:rPr>
          <w:sz w:val="22"/>
          <w:szCs w:val="22"/>
        </w:rPr>
        <w:t>recognises the importance of retaining identification of those charged with or convicted of offences</w:t>
      </w:r>
      <w:r w:rsidR="00A749D9">
        <w:rPr>
          <w:sz w:val="22"/>
          <w:szCs w:val="22"/>
        </w:rPr>
        <w:t>, and disclosing it in certain circumstances</w:t>
      </w:r>
      <w:r w:rsidR="00A749D9" w:rsidRPr="00A749D9">
        <w:rPr>
          <w:sz w:val="22"/>
          <w:szCs w:val="22"/>
        </w:rPr>
        <w:t xml:space="preserve">.  However in the Commission’s view there is no justification for </w:t>
      </w:r>
      <w:r w:rsidR="00A749D9">
        <w:rPr>
          <w:sz w:val="22"/>
          <w:szCs w:val="22"/>
        </w:rPr>
        <w:t>disclosin</w:t>
      </w:r>
      <w:r w:rsidR="00A749D9" w:rsidRPr="00A749D9">
        <w:rPr>
          <w:sz w:val="22"/>
          <w:szCs w:val="22"/>
        </w:rPr>
        <w:t xml:space="preserve">g the information that is the focus of this case </w:t>
      </w:r>
      <w:r w:rsidR="00A749D9">
        <w:rPr>
          <w:sz w:val="22"/>
          <w:szCs w:val="22"/>
        </w:rPr>
        <w:t>due to the application</w:t>
      </w:r>
      <w:r w:rsidR="00A749D9" w:rsidRPr="00A749D9">
        <w:rPr>
          <w:sz w:val="22"/>
          <w:szCs w:val="22"/>
        </w:rPr>
        <w:t xml:space="preserve"> of a blanket policy, regardless of the individual circumstances. It is essential that such powers are used appropriately and proportionately</w:t>
      </w:r>
      <w:r w:rsidR="00A749D9" w:rsidRPr="00A749D9">
        <w:rPr>
          <w:i/>
          <w:sz w:val="22"/>
          <w:szCs w:val="22"/>
        </w:rPr>
        <w:t xml:space="preserve"> </w:t>
      </w:r>
      <w:r w:rsidR="00A749D9" w:rsidRPr="00A749D9">
        <w:rPr>
          <w:sz w:val="22"/>
          <w:szCs w:val="22"/>
        </w:rPr>
        <w:t>and exercised f</w:t>
      </w:r>
      <w:r w:rsidR="002F5974">
        <w:rPr>
          <w:sz w:val="22"/>
          <w:szCs w:val="22"/>
        </w:rPr>
        <w:t>airly and in a Convention compl</w:t>
      </w:r>
      <w:r w:rsidR="00A749D9" w:rsidRPr="00A749D9">
        <w:rPr>
          <w:sz w:val="22"/>
          <w:szCs w:val="22"/>
        </w:rPr>
        <w:t>i</w:t>
      </w:r>
      <w:r w:rsidR="002F5974">
        <w:rPr>
          <w:sz w:val="22"/>
          <w:szCs w:val="22"/>
        </w:rPr>
        <w:t>a</w:t>
      </w:r>
      <w:r w:rsidR="00A749D9" w:rsidRPr="00A749D9">
        <w:rPr>
          <w:sz w:val="22"/>
          <w:szCs w:val="22"/>
        </w:rPr>
        <w:t>nt manner.</w:t>
      </w:r>
      <w:r w:rsidR="00A749D9">
        <w:rPr>
          <w:sz w:val="22"/>
          <w:szCs w:val="22"/>
        </w:rPr>
        <w:t xml:space="preserve">  </w:t>
      </w:r>
    </w:p>
    <w:p w:rsidR="00FA20B7" w:rsidRDefault="00FA20B7" w:rsidP="00FA20B7">
      <w:pPr>
        <w:tabs>
          <w:tab w:val="left" w:pos="540"/>
        </w:tabs>
        <w:spacing w:line="360" w:lineRule="auto"/>
        <w:ind w:left="540" w:hanging="540"/>
        <w:jc w:val="both"/>
        <w:rPr>
          <w:sz w:val="22"/>
          <w:szCs w:val="22"/>
        </w:rPr>
      </w:pPr>
    </w:p>
    <w:p w:rsidR="00E15655" w:rsidRDefault="00FA20B7" w:rsidP="00FA20B7">
      <w:pPr>
        <w:tabs>
          <w:tab w:val="left" w:pos="540"/>
        </w:tabs>
        <w:spacing w:line="360" w:lineRule="auto"/>
        <w:ind w:left="540" w:hanging="540"/>
        <w:jc w:val="both"/>
        <w:rPr>
          <w:sz w:val="22"/>
          <w:szCs w:val="22"/>
        </w:rPr>
      </w:pPr>
      <w:r>
        <w:rPr>
          <w:sz w:val="22"/>
          <w:szCs w:val="22"/>
        </w:rPr>
        <w:t>4.</w:t>
      </w:r>
      <w:r w:rsidR="00E15655">
        <w:rPr>
          <w:sz w:val="22"/>
          <w:szCs w:val="22"/>
        </w:rPr>
        <w:t>2</w:t>
      </w:r>
      <w:r>
        <w:rPr>
          <w:sz w:val="22"/>
          <w:szCs w:val="22"/>
        </w:rPr>
        <w:t>9</w:t>
      </w:r>
      <w:r>
        <w:rPr>
          <w:sz w:val="22"/>
          <w:szCs w:val="22"/>
        </w:rPr>
        <w:tab/>
      </w:r>
      <w:r w:rsidR="00A749D9">
        <w:rPr>
          <w:sz w:val="22"/>
          <w:szCs w:val="22"/>
        </w:rPr>
        <w:t>The Strasbourg court has regularly criticised, in a wide variety of contexts, the application of blanket, general rules</w:t>
      </w:r>
      <w:r w:rsidR="00400460">
        <w:rPr>
          <w:sz w:val="22"/>
          <w:szCs w:val="22"/>
        </w:rPr>
        <w:t>, and the Commission agrees with the Appellant that the Convention generally abhors a blanket rule.</w:t>
      </w:r>
      <w:r w:rsidR="003814D1">
        <w:rPr>
          <w:sz w:val="22"/>
          <w:szCs w:val="22"/>
        </w:rPr>
        <w:t xml:space="preserve"> </w:t>
      </w:r>
      <w:r w:rsidR="00400460">
        <w:rPr>
          <w:sz w:val="22"/>
          <w:szCs w:val="22"/>
        </w:rPr>
        <w:t xml:space="preserve"> This</w:t>
      </w:r>
      <w:r w:rsidR="003814D1">
        <w:rPr>
          <w:sz w:val="22"/>
          <w:szCs w:val="22"/>
        </w:rPr>
        <w:t xml:space="preserve"> includ</w:t>
      </w:r>
      <w:r w:rsidR="00400460">
        <w:rPr>
          <w:sz w:val="22"/>
          <w:szCs w:val="22"/>
        </w:rPr>
        <w:t>es</w:t>
      </w:r>
      <w:r w:rsidR="003814D1">
        <w:rPr>
          <w:sz w:val="22"/>
          <w:szCs w:val="22"/>
        </w:rPr>
        <w:t xml:space="preserve"> when Parliament has mandated such blanket rules</w:t>
      </w:r>
      <w:r w:rsidR="00400460">
        <w:rPr>
          <w:sz w:val="22"/>
          <w:szCs w:val="22"/>
        </w:rPr>
        <w:t xml:space="preserve">.  For example, in </w:t>
      </w:r>
      <w:r w:rsidR="003814D1">
        <w:rPr>
          <w:sz w:val="22"/>
          <w:szCs w:val="22"/>
        </w:rPr>
        <w:t xml:space="preserve"> </w:t>
      </w:r>
      <w:r w:rsidR="003814D1" w:rsidRPr="003814D1">
        <w:rPr>
          <w:i/>
          <w:sz w:val="22"/>
          <w:szCs w:val="22"/>
        </w:rPr>
        <w:t>Hirst v. UK</w:t>
      </w:r>
      <w:r w:rsidR="00E15655">
        <w:rPr>
          <w:i/>
          <w:sz w:val="22"/>
          <w:szCs w:val="22"/>
        </w:rPr>
        <w:t xml:space="preserve"> (No. 2) </w:t>
      </w:r>
      <w:r w:rsidR="00E15655">
        <w:rPr>
          <w:sz w:val="22"/>
          <w:szCs w:val="22"/>
        </w:rPr>
        <w:t>(2006) 42 EHRR 41</w:t>
      </w:r>
      <w:r w:rsidR="00400460">
        <w:rPr>
          <w:sz w:val="22"/>
          <w:szCs w:val="22"/>
        </w:rPr>
        <w:t xml:space="preserve"> the Grand Chamber held that t</w:t>
      </w:r>
      <w:r w:rsidR="00E15655">
        <w:rPr>
          <w:sz w:val="22"/>
          <w:szCs w:val="22"/>
        </w:rPr>
        <w:t xml:space="preserve">he blanket ban on serving prisoners voting in House of Commons elections (s. 3, Representation of the People </w:t>
      </w:r>
      <w:r w:rsidR="00400460">
        <w:rPr>
          <w:sz w:val="22"/>
          <w:szCs w:val="22"/>
        </w:rPr>
        <w:t>Act 1983) was incompatible with Article 3 of Protocol 1.  The general, blanket nature of the ban</w:t>
      </w:r>
      <w:r w:rsidR="00273604">
        <w:rPr>
          <w:sz w:val="22"/>
          <w:szCs w:val="22"/>
        </w:rPr>
        <w:t xml:space="preserve"> was a </w:t>
      </w:r>
      <w:r w:rsidR="008D41A1" w:rsidRPr="008D41A1">
        <w:rPr>
          <w:i/>
          <w:sz w:val="22"/>
          <w:szCs w:val="22"/>
        </w:rPr>
        <w:t>“blunt instrument”</w:t>
      </w:r>
      <w:r w:rsidR="00273604">
        <w:rPr>
          <w:sz w:val="22"/>
          <w:szCs w:val="22"/>
        </w:rPr>
        <w:t xml:space="preserve"> which </w:t>
      </w:r>
      <w:r w:rsidR="008D41A1" w:rsidRPr="008D41A1">
        <w:rPr>
          <w:i/>
          <w:sz w:val="22"/>
          <w:szCs w:val="22"/>
        </w:rPr>
        <w:t xml:space="preserve">“strips the Convention right to vote to a significant category of persons and does so in a way that is </w:t>
      </w:r>
      <w:r w:rsidR="00273604">
        <w:rPr>
          <w:i/>
          <w:sz w:val="22"/>
          <w:szCs w:val="22"/>
        </w:rPr>
        <w:t>in</w:t>
      </w:r>
      <w:r w:rsidR="008D41A1" w:rsidRPr="008D41A1">
        <w:rPr>
          <w:i/>
          <w:sz w:val="22"/>
          <w:szCs w:val="22"/>
        </w:rPr>
        <w:t xml:space="preserve">discriminate” </w:t>
      </w:r>
      <w:r w:rsidR="00273604">
        <w:rPr>
          <w:sz w:val="22"/>
          <w:szCs w:val="22"/>
        </w:rPr>
        <w:t>(</w:t>
      </w:r>
      <w:proofErr w:type="spellStart"/>
      <w:r w:rsidR="00273604">
        <w:rPr>
          <w:sz w:val="22"/>
          <w:szCs w:val="22"/>
        </w:rPr>
        <w:t>para</w:t>
      </w:r>
      <w:proofErr w:type="spellEnd"/>
      <w:r w:rsidR="00273604">
        <w:rPr>
          <w:sz w:val="22"/>
          <w:szCs w:val="22"/>
        </w:rPr>
        <w:t xml:space="preserve">. 82).  This was despite the Court granting the UK a wide margin of appreciation.  </w:t>
      </w:r>
      <w:r w:rsidR="00E15655">
        <w:rPr>
          <w:sz w:val="22"/>
          <w:szCs w:val="22"/>
        </w:rPr>
        <w:t xml:space="preserve"> </w:t>
      </w:r>
    </w:p>
    <w:p w:rsidR="00E15655" w:rsidRDefault="00E15655" w:rsidP="00FA20B7">
      <w:pPr>
        <w:tabs>
          <w:tab w:val="left" w:pos="540"/>
        </w:tabs>
        <w:spacing w:line="360" w:lineRule="auto"/>
        <w:ind w:left="540" w:hanging="540"/>
        <w:jc w:val="both"/>
        <w:rPr>
          <w:sz w:val="22"/>
          <w:szCs w:val="22"/>
        </w:rPr>
      </w:pPr>
    </w:p>
    <w:p w:rsidR="00F913D2" w:rsidRDefault="00003F72" w:rsidP="007B4593">
      <w:pPr>
        <w:tabs>
          <w:tab w:val="left" w:pos="540"/>
        </w:tabs>
        <w:spacing w:line="360" w:lineRule="auto"/>
        <w:ind w:left="540" w:hanging="540"/>
        <w:jc w:val="both"/>
        <w:rPr>
          <w:sz w:val="22"/>
          <w:szCs w:val="22"/>
        </w:rPr>
      </w:pPr>
      <w:r>
        <w:rPr>
          <w:sz w:val="22"/>
          <w:szCs w:val="22"/>
        </w:rPr>
        <w:t>4.30</w:t>
      </w:r>
      <w:r>
        <w:rPr>
          <w:sz w:val="22"/>
          <w:szCs w:val="22"/>
        </w:rPr>
        <w:tab/>
      </w:r>
      <w:r w:rsidR="00F913D2">
        <w:rPr>
          <w:sz w:val="22"/>
          <w:szCs w:val="22"/>
        </w:rPr>
        <w:t>As is referred to above, a</w:t>
      </w:r>
      <w:r w:rsidR="00414CCB">
        <w:rPr>
          <w:sz w:val="22"/>
          <w:szCs w:val="22"/>
        </w:rPr>
        <w:t xml:space="preserve">t </w:t>
      </w:r>
      <w:proofErr w:type="spellStart"/>
      <w:r w:rsidR="00414CCB">
        <w:rPr>
          <w:sz w:val="22"/>
          <w:szCs w:val="22"/>
        </w:rPr>
        <w:t>paras</w:t>
      </w:r>
      <w:proofErr w:type="spellEnd"/>
      <w:r w:rsidR="00414CCB">
        <w:rPr>
          <w:sz w:val="22"/>
          <w:szCs w:val="22"/>
        </w:rPr>
        <w:t>. 3.4 – 3.7</w:t>
      </w:r>
      <w:r w:rsidR="00F913D2">
        <w:rPr>
          <w:sz w:val="22"/>
          <w:szCs w:val="22"/>
        </w:rPr>
        <w:t xml:space="preserve"> of these submissions, the SSHD and SSJ place reliance in their Skeleton upon the fact that non-recordable offences are not disclosed pursuant to s. 113B.  The Commission respectfully submits that this is not a persuasive answer to the submissions concerning the indiscriminate nature of the scheme, given that:</w:t>
      </w:r>
    </w:p>
    <w:p w:rsidR="00F913D2" w:rsidRDefault="00F913D2" w:rsidP="00003F72">
      <w:pPr>
        <w:tabs>
          <w:tab w:val="left" w:pos="540"/>
        </w:tabs>
        <w:spacing w:line="360" w:lineRule="auto"/>
        <w:ind w:left="540" w:hanging="540"/>
        <w:jc w:val="both"/>
        <w:rPr>
          <w:sz w:val="22"/>
          <w:szCs w:val="22"/>
        </w:rPr>
      </w:pPr>
      <w:r>
        <w:rPr>
          <w:sz w:val="22"/>
          <w:szCs w:val="22"/>
        </w:rPr>
        <w:t xml:space="preserve">   </w:t>
      </w:r>
    </w:p>
    <w:p w:rsidR="0058263E" w:rsidRDefault="00F913D2">
      <w:pPr>
        <w:tabs>
          <w:tab w:val="left" w:pos="540"/>
        </w:tabs>
        <w:spacing w:line="360" w:lineRule="auto"/>
        <w:ind w:left="1440" w:hanging="1440"/>
        <w:jc w:val="both"/>
        <w:rPr>
          <w:sz w:val="22"/>
          <w:szCs w:val="22"/>
        </w:rPr>
      </w:pPr>
      <w:r>
        <w:rPr>
          <w:sz w:val="22"/>
          <w:szCs w:val="22"/>
        </w:rPr>
        <w:tab/>
        <w:t>4.30.1</w:t>
      </w:r>
      <w:r>
        <w:rPr>
          <w:sz w:val="22"/>
          <w:szCs w:val="22"/>
        </w:rPr>
        <w:tab/>
        <w:t xml:space="preserve">A scheme may be blanket, generalised and indiscriminate without being of universal application.  In </w:t>
      </w:r>
      <w:r w:rsidR="008D41A1" w:rsidRPr="008D41A1">
        <w:rPr>
          <w:i/>
          <w:sz w:val="22"/>
          <w:szCs w:val="22"/>
        </w:rPr>
        <w:t>Hirst v. UK (No. 2),</w:t>
      </w:r>
      <w:r>
        <w:rPr>
          <w:sz w:val="22"/>
          <w:szCs w:val="22"/>
        </w:rPr>
        <w:t xml:space="preserve"> for example, the impugned scheme</w:t>
      </w:r>
      <w:r w:rsidR="007B4593">
        <w:rPr>
          <w:sz w:val="22"/>
          <w:szCs w:val="22"/>
        </w:rPr>
        <w:t xml:space="preserve"> did not apply to all prisoners (a distinction was drawn between convicted and remand prisoners, for example), but</w:t>
      </w:r>
      <w:r>
        <w:rPr>
          <w:sz w:val="22"/>
          <w:szCs w:val="22"/>
        </w:rPr>
        <w:t xml:space="preserve"> the Grand Chamber </w:t>
      </w:r>
      <w:r w:rsidR="007B4593">
        <w:rPr>
          <w:sz w:val="22"/>
          <w:szCs w:val="22"/>
        </w:rPr>
        <w:t xml:space="preserve">nevertheless </w:t>
      </w:r>
      <w:r>
        <w:rPr>
          <w:sz w:val="22"/>
          <w:szCs w:val="22"/>
        </w:rPr>
        <w:t xml:space="preserve">found </w:t>
      </w:r>
      <w:r w:rsidR="007B4593">
        <w:rPr>
          <w:sz w:val="22"/>
          <w:szCs w:val="22"/>
        </w:rPr>
        <w:t>it to be indiscriminate and unjustified;</w:t>
      </w:r>
    </w:p>
    <w:p w:rsidR="0058263E" w:rsidRDefault="0058263E">
      <w:pPr>
        <w:tabs>
          <w:tab w:val="left" w:pos="540"/>
        </w:tabs>
        <w:spacing w:line="360" w:lineRule="auto"/>
        <w:ind w:left="1440" w:hanging="1440"/>
        <w:jc w:val="both"/>
        <w:rPr>
          <w:sz w:val="22"/>
          <w:szCs w:val="22"/>
        </w:rPr>
      </w:pPr>
    </w:p>
    <w:p w:rsidR="0058263E" w:rsidRDefault="007B4593">
      <w:pPr>
        <w:tabs>
          <w:tab w:val="left" w:pos="540"/>
        </w:tabs>
        <w:spacing w:line="360" w:lineRule="auto"/>
        <w:ind w:left="1440" w:hanging="1440"/>
        <w:jc w:val="both"/>
        <w:rPr>
          <w:sz w:val="22"/>
          <w:szCs w:val="22"/>
        </w:rPr>
      </w:pPr>
      <w:r>
        <w:rPr>
          <w:sz w:val="22"/>
          <w:szCs w:val="22"/>
        </w:rPr>
        <w:tab/>
        <w:t>4.30.2</w:t>
      </w:r>
      <w:r>
        <w:rPr>
          <w:sz w:val="22"/>
          <w:szCs w:val="22"/>
        </w:rPr>
        <w:tab/>
        <w:t>As highlighted by Mrs. Mason in her Phase 2 report, pp. 15 – 18, the distinction between recordable and non-recordable offences is not linked to public protection, nor</w:t>
      </w:r>
      <w:r w:rsidR="00A002B2">
        <w:rPr>
          <w:sz w:val="22"/>
          <w:szCs w:val="22"/>
        </w:rPr>
        <w:t xml:space="preserve"> does it equate to gravity of the offences.  She expressed concern that the system is resulting in a</w:t>
      </w:r>
      <w:r w:rsidR="00414CCB">
        <w:rPr>
          <w:sz w:val="22"/>
          <w:szCs w:val="22"/>
        </w:rPr>
        <w:t xml:space="preserve"> </w:t>
      </w:r>
      <w:r w:rsidR="008D41A1" w:rsidRPr="008D41A1">
        <w:rPr>
          <w:i/>
          <w:sz w:val="22"/>
          <w:szCs w:val="22"/>
        </w:rPr>
        <w:t>“growing list of offences that are treated as recordable... under regulations”</w:t>
      </w:r>
      <w:r w:rsidRPr="007B4593">
        <w:rPr>
          <w:sz w:val="22"/>
          <w:szCs w:val="22"/>
        </w:rPr>
        <w:t xml:space="preserve"> and th</w:t>
      </w:r>
      <w:r w:rsidR="00A002B2">
        <w:rPr>
          <w:sz w:val="22"/>
          <w:szCs w:val="22"/>
        </w:rPr>
        <w:t xml:space="preserve">at </w:t>
      </w:r>
      <w:r w:rsidR="008D41A1" w:rsidRPr="008D41A1">
        <w:rPr>
          <w:i/>
          <w:sz w:val="22"/>
          <w:szCs w:val="22"/>
        </w:rPr>
        <w:t>“the process does not appear to be governed by any set criteria.  It is hard to see any consistent justification for why the list contains the offences it does”</w:t>
      </w:r>
      <w:r w:rsidR="00A002B2">
        <w:rPr>
          <w:sz w:val="22"/>
          <w:szCs w:val="22"/>
        </w:rPr>
        <w:t xml:space="preserve"> (p. 18).  She </w:t>
      </w:r>
      <w:r w:rsidR="00E55BED">
        <w:rPr>
          <w:sz w:val="22"/>
          <w:szCs w:val="22"/>
        </w:rPr>
        <w:t xml:space="preserve">highlighted anomalies in the included and excluded offences; and also the anomaly created by the fact that a minor penalty for a theoretically </w:t>
      </w:r>
      <w:proofErr w:type="spellStart"/>
      <w:r w:rsidR="00E55BED">
        <w:rPr>
          <w:sz w:val="22"/>
          <w:szCs w:val="22"/>
        </w:rPr>
        <w:t>imprisonable</w:t>
      </w:r>
      <w:proofErr w:type="spellEnd"/>
      <w:r w:rsidR="00E55BED">
        <w:rPr>
          <w:sz w:val="22"/>
          <w:szCs w:val="22"/>
        </w:rPr>
        <w:t xml:space="preserve"> offence is recorded on the PNC, whereas a large fine for an offence that is not </w:t>
      </w:r>
      <w:proofErr w:type="spellStart"/>
      <w:r w:rsidR="00E55BED">
        <w:rPr>
          <w:sz w:val="22"/>
          <w:szCs w:val="22"/>
        </w:rPr>
        <w:t>imprisonable</w:t>
      </w:r>
      <w:proofErr w:type="spellEnd"/>
      <w:r w:rsidR="00E55BED">
        <w:rPr>
          <w:sz w:val="22"/>
          <w:szCs w:val="22"/>
        </w:rPr>
        <w:t xml:space="preserve"> is not.  She concluded that urgent reform was needed, and the SSHD and SSJ now confirm that her recommendations have not been rejected and are still under review.  </w:t>
      </w:r>
    </w:p>
    <w:p w:rsidR="007F0126" w:rsidRDefault="007F0126" w:rsidP="00003F72">
      <w:pPr>
        <w:tabs>
          <w:tab w:val="left" w:pos="540"/>
        </w:tabs>
        <w:spacing w:line="360" w:lineRule="auto"/>
        <w:ind w:left="540" w:hanging="540"/>
        <w:jc w:val="both"/>
        <w:rPr>
          <w:sz w:val="22"/>
          <w:szCs w:val="22"/>
        </w:rPr>
      </w:pPr>
    </w:p>
    <w:p w:rsidR="0058263E" w:rsidRDefault="00E55BED" w:rsidP="00414CCB">
      <w:pPr>
        <w:tabs>
          <w:tab w:val="left" w:pos="540"/>
        </w:tabs>
        <w:spacing w:line="360" w:lineRule="auto"/>
        <w:ind w:left="567" w:hanging="567"/>
        <w:jc w:val="both"/>
        <w:rPr>
          <w:sz w:val="22"/>
          <w:szCs w:val="22"/>
        </w:rPr>
      </w:pPr>
      <w:r>
        <w:rPr>
          <w:sz w:val="22"/>
          <w:szCs w:val="22"/>
          <w:lang w:eastAsia="en-GB"/>
        </w:rPr>
        <w:t>4.31</w:t>
      </w:r>
      <w:r w:rsidR="00414CCB">
        <w:rPr>
          <w:sz w:val="22"/>
          <w:szCs w:val="22"/>
          <w:lang w:eastAsia="en-GB"/>
        </w:rPr>
        <w:tab/>
      </w:r>
      <w:r w:rsidR="00003F72">
        <w:rPr>
          <w:sz w:val="22"/>
          <w:szCs w:val="22"/>
          <w:lang w:eastAsia="en-GB"/>
        </w:rPr>
        <w:t>As regards whether or not the blanket scheme is ‘necessary in a democratic society,’ a range of answers are suggested by the First and Second Respondents and the SSJ</w:t>
      </w:r>
      <w:r>
        <w:rPr>
          <w:sz w:val="22"/>
          <w:szCs w:val="22"/>
          <w:lang w:eastAsia="en-GB"/>
        </w:rPr>
        <w:t xml:space="preserve"> in their submissions</w:t>
      </w:r>
      <w:r w:rsidR="00003F72">
        <w:rPr>
          <w:sz w:val="22"/>
          <w:szCs w:val="22"/>
          <w:lang w:eastAsia="en-GB"/>
        </w:rPr>
        <w:t xml:space="preserve">.  </w:t>
      </w:r>
    </w:p>
    <w:p w:rsidR="00003F72" w:rsidRDefault="00003F72" w:rsidP="00003F72">
      <w:pPr>
        <w:tabs>
          <w:tab w:val="left" w:pos="540"/>
        </w:tabs>
        <w:spacing w:line="360" w:lineRule="auto"/>
        <w:ind w:left="540" w:hanging="540"/>
        <w:jc w:val="both"/>
        <w:rPr>
          <w:sz w:val="22"/>
          <w:szCs w:val="22"/>
          <w:lang w:eastAsia="en-GB"/>
        </w:rPr>
      </w:pPr>
    </w:p>
    <w:p w:rsidR="00003F72" w:rsidRDefault="00003F72" w:rsidP="00003F72">
      <w:pPr>
        <w:tabs>
          <w:tab w:val="left" w:pos="540"/>
        </w:tabs>
        <w:spacing w:line="360" w:lineRule="auto"/>
        <w:ind w:left="1440" w:hanging="1440"/>
        <w:jc w:val="both"/>
        <w:rPr>
          <w:sz w:val="22"/>
          <w:szCs w:val="22"/>
          <w:lang w:eastAsia="en-GB"/>
        </w:rPr>
      </w:pPr>
      <w:r>
        <w:rPr>
          <w:sz w:val="22"/>
          <w:szCs w:val="22"/>
          <w:lang w:eastAsia="en-GB"/>
        </w:rPr>
        <w:tab/>
        <w:t>4.</w:t>
      </w:r>
      <w:r w:rsidR="00E55BED">
        <w:rPr>
          <w:sz w:val="22"/>
          <w:szCs w:val="22"/>
          <w:lang w:eastAsia="en-GB"/>
        </w:rPr>
        <w:t>31</w:t>
      </w:r>
      <w:r>
        <w:rPr>
          <w:sz w:val="22"/>
          <w:szCs w:val="22"/>
          <w:lang w:eastAsia="en-GB"/>
        </w:rPr>
        <w:t>.1</w:t>
      </w:r>
      <w:r>
        <w:rPr>
          <w:sz w:val="22"/>
          <w:szCs w:val="22"/>
          <w:lang w:eastAsia="en-GB"/>
        </w:rPr>
        <w:tab/>
        <w:t xml:space="preserve">The First Respondent addresses this in </w:t>
      </w:r>
      <w:proofErr w:type="spellStart"/>
      <w:r>
        <w:rPr>
          <w:sz w:val="22"/>
          <w:szCs w:val="22"/>
          <w:lang w:eastAsia="en-GB"/>
        </w:rPr>
        <w:t>paras</w:t>
      </w:r>
      <w:proofErr w:type="spellEnd"/>
      <w:r>
        <w:rPr>
          <w:sz w:val="22"/>
          <w:szCs w:val="22"/>
          <w:lang w:eastAsia="en-GB"/>
        </w:rPr>
        <w:t xml:space="preserve">. 42, 43, and 44 of his Skeleton.  </w:t>
      </w:r>
      <w:r w:rsidR="00E55BED">
        <w:rPr>
          <w:sz w:val="22"/>
          <w:szCs w:val="22"/>
          <w:lang w:eastAsia="en-GB"/>
        </w:rPr>
        <w:t>He</w:t>
      </w:r>
      <w:r>
        <w:rPr>
          <w:sz w:val="22"/>
          <w:szCs w:val="22"/>
          <w:lang w:eastAsia="en-GB"/>
        </w:rPr>
        <w:t xml:space="preserve"> points to the </w:t>
      </w:r>
      <w:r w:rsidRPr="009F0EE5">
        <w:rPr>
          <w:i/>
          <w:sz w:val="22"/>
          <w:szCs w:val="22"/>
          <w:lang w:eastAsia="en-GB"/>
        </w:rPr>
        <w:t>“value and efficacy”</w:t>
      </w:r>
      <w:r>
        <w:rPr>
          <w:sz w:val="22"/>
          <w:szCs w:val="22"/>
          <w:lang w:eastAsia="en-GB"/>
        </w:rPr>
        <w:t xml:space="preserve"> of the existing system (</w:t>
      </w:r>
      <w:proofErr w:type="spellStart"/>
      <w:r>
        <w:rPr>
          <w:sz w:val="22"/>
          <w:szCs w:val="22"/>
          <w:lang w:eastAsia="en-GB"/>
        </w:rPr>
        <w:t>para</w:t>
      </w:r>
      <w:proofErr w:type="spellEnd"/>
      <w:r>
        <w:rPr>
          <w:sz w:val="22"/>
          <w:szCs w:val="22"/>
          <w:lang w:eastAsia="en-GB"/>
        </w:rPr>
        <w:t xml:space="preserve">. 43), but much of the purported ‘value’ relates only to the fact that an ECRC which contains details of a past conviction or non-conviction disposal will be </w:t>
      </w:r>
      <w:r w:rsidRPr="009F0EE5">
        <w:rPr>
          <w:i/>
          <w:sz w:val="22"/>
          <w:szCs w:val="22"/>
          <w:lang w:eastAsia="en-GB"/>
        </w:rPr>
        <w:t>“accurate,” “reliable”</w:t>
      </w:r>
      <w:r>
        <w:rPr>
          <w:sz w:val="22"/>
          <w:szCs w:val="22"/>
          <w:lang w:eastAsia="en-GB"/>
        </w:rPr>
        <w:t xml:space="preserve"> or </w:t>
      </w:r>
      <w:r w:rsidRPr="009F0EE5">
        <w:rPr>
          <w:i/>
          <w:sz w:val="22"/>
          <w:szCs w:val="22"/>
          <w:lang w:eastAsia="en-GB"/>
        </w:rPr>
        <w:t>“official”</w:t>
      </w:r>
      <w:r>
        <w:rPr>
          <w:sz w:val="22"/>
          <w:szCs w:val="22"/>
          <w:lang w:eastAsia="en-GB"/>
        </w:rPr>
        <w:t xml:space="preserve"> (see e.g. </w:t>
      </w:r>
      <w:proofErr w:type="spellStart"/>
      <w:r>
        <w:rPr>
          <w:sz w:val="22"/>
          <w:szCs w:val="22"/>
          <w:lang w:eastAsia="en-GB"/>
        </w:rPr>
        <w:t>paras</w:t>
      </w:r>
      <w:proofErr w:type="spellEnd"/>
      <w:r>
        <w:rPr>
          <w:sz w:val="22"/>
          <w:szCs w:val="22"/>
          <w:lang w:eastAsia="en-GB"/>
        </w:rPr>
        <w:t xml:space="preserve">. 43(m) and 44).  It is wholly unclear why providing accurate information is automatically considered inherently valuable by the First Respondent.  At </w:t>
      </w:r>
      <w:proofErr w:type="spellStart"/>
      <w:r>
        <w:rPr>
          <w:sz w:val="22"/>
          <w:szCs w:val="22"/>
          <w:lang w:eastAsia="en-GB"/>
        </w:rPr>
        <w:t>para</w:t>
      </w:r>
      <w:proofErr w:type="spellEnd"/>
      <w:r>
        <w:rPr>
          <w:sz w:val="22"/>
          <w:szCs w:val="22"/>
          <w:lang w:eastAsia="en-GB"/>
        </w:rPr>
        <w:t xml:space="preserve">. 44, for example, the First Respondent states that without the 1997 Act, </w:t>
      </w:r>
      <w:r w:rsidRPr="00734896">
        <w:rPr>
          <w:i/>
          <w:sz w:val="22"/>
          <w:szCs w:val="22"/>
          <w:lang w:eastAsia="en-GB"/>
        </w:rPr>
        <w:t>“employers would potentially be left without any reliable ‘official’ record of an applicant’s background.”</w:t>
      </w:r>
      <w:r>
        <w:rPr>
          <w:sz w:val="22"/>
          <w:szCs w:val="22"/>
          <w:lang w:eastAsia="en-GB"/>
        </w:rPr>
        <w:t xml:space="preserve">  However, first, neither the Appellant nor the Commission challenges the need for there to be some form of scheme relating to disclosure of conviction and non-conviction information; rather, they challenge the specifics of the existing scheme.  Second, the First Respondent presumes there is automatic value to employers being provided with such information in all cases, without explaining why such a presumption has been made.   </w:t>
      </w:r>
    </w:p>
    <w:p w:rsidR="00003F72" w:rsidRDefault="00003F72" w:rsidP="00003F72">
      <w:pPr>
        <w:tabs>
          <w:tab w:val="left" w:pos="540"/>
        </w:tabs>
        <w:spacing w:line="360" w:lineRule="auto"/>
        <w:ind w:left="1440" w:hanging="1440"/>
        <w:jc w:val="both"/>
        <w:rPr>
          <w:sz w:val="22"/>
          <w:szCs w:val="22"/>
          <w:lang w:eastAsia="en-GB"/>
        </w:rPr>
      </w:pPr>
    </w:p>
    <w:p w:rsidR="00003F72" w:rsidRDefault="00003F72" w:rsidP="00003F72">
      <w:pPr>
        <w:tabs>
          <w:tab w:val="left" w:pos="540"/>
        </w:tabs>
        <w:spacing w:line="360" w:lineRule="auto"/>
        <w:ind w:left="1440" w:hanging="1440"/>
        <w:jc w:val="both"/>
        <w:rPr>
          <w:sz w:val="22"/>
          <w:szCs w:val="22"/>
          <w:lang w:eastAsia="en-GB"/>
        </w:rPr>
      </w:pPr>
      <w:r>
        <w:rPr>
          <w:sz w:val="22"/>
          <w:szCs w:val="22"/>
          <w:lang w:eastAsia="en-GB"/>
        </w:rPr>
        <w:tab/>
        <w:t>4.</w:t>
      </w:r>
      <w:r w:rsidR="00E55BED">
        <w:rPr>
          <w:sz w:val="22"/>
          <w:szCs w:val="22"/>
          <w:lang w:eastAsia="en-GB"/>
        </w:rPr>
        <w:t>31</w:t>
      </w:r>
      <w:r>
        <w:rPr>
          <w:sz w:val="22"/>
          <w:szCs w:val="22"/>
          <w:lang w:eastAsia="en-GB"/>
        </w:rPr>
        <w:t>.2</w:t>
      </w:r>
      <w:r>
        <w:rPr>
          <w:sz w:val="22"/>
          <w:szCs w:val="22"/>
          <w:lang w:eastAsia="en-GB"/>
        </w:rPr>
        <w:tab/>
        <w:t xml:space="preserve">At </w:t>
      </w:r>
      <w:proofErr w:type="spellStart"/>
      <w:r>
        <w:rPr>
          <w:sz w:val="22"/>
          <w:szCs w:val="22"/>
          <w:lang w:eastAsia="en-GB"/>
        </w:rPr>
        <w:t>para</w:t>
      </w:r>
      <w:proofErr w:type="spellEnd"/>
      <w:r>
        <w:rPr>
          <w:sz w:val="22"/>
          <w:szCs w:val="22"/>
          <w:lang w:eastAsia="en-GB"/>
        </w:rPr>
        <w:t xml:space="preserve">. 43(e) and (h) the First Respondent refers to the scheme as providing a ‘vital safeguard’ or ‘vital protection,’ without explaining why this scheme - in its present blanket form, without any filtering process – is essential to provide such protection.  </w:t>
      </w:r>
      <w:r w:rsidRPr="002F5974">
        <w:rPr>
          <w:sz w:val="22"/>
          <w:szCs w:val="22"/>
        </w:rPr>
        <w:t>The Commission submit</w:t>
      </w:r>
      <w:r>
        <w:rPr>
          <w:sz w:val="22"/>
          <w:szCs w:val="22"/>
        </w:rPr>
        <w:t>s</w:t>
      </w:r>
      <w:r w:rsidRPr="002F5974">
        <w:rPr>
          <w:sz w:val="22"/>
          <w:szCs w:val="22"/>
        </w:rPr>
        <w:t xml:space="preserve"> that it is unsustainable to argue that with certain jobs or roles, </w:t>
      </w:r>
      <w:r w:rsidRPr="002F5974">
        <w:rPr>
          <w:i/>
          <w:sz w:val="22"/>
          <w:szCs w:val="22"/>
        </w:rPr>
        <w:t xml:space="preserve">all </w:t>
      </w:r>
      <w:r w:rsidRPr="002F5974">
        <w:rPr>
          <w:sz w:val="22"/>
          <w:szCs w:val="22"/>
        </w:rPr>
        <w:lastRenderedPageBreak/>
        <w:t xml:space="preserve">previous convictions and cautions are </w:t>
      </w:r>
      <w:r w:rsidRPr="002F5974">
        <w:rPr>
          <w:i/>
          <w:sz w:val="22"/>
          <w:szCs w:val="22"/>
        </w:rPr>
        <w:t xml:space="preserve">always </w:t>
      </w:r>
      <w:r w:rsidRPr="002F5974">
        <w:rPr>
          <w:sz w:val="22"/>
          <w:szCs w:val="22"/>
        </w:rPr>
        <w:t>relevant</w:t>
      </w:r>
      <w:r>
        <w:rPr>
          <w:sz w:val="22"/>
          <w:szCs w:val="22"/>
        </w:rPr>
        <w:t>, and thus provide a vital safeguard</w:t>
      </w:r>
      <w:r w:rsidRPr="002F5974">
        <w:rPr>
          <w:sz w:val="22"/>
          <w:szCs w:val="22"/>
        </w:rPr>
        <w:t xml:space="preserve">. </w:t>
      </w:r>
      <w:r>
        <w:rPr>
          <w:sz w:val="22"/>
          <w:szCs w:val="22"/>
        </w:rPr>
        <w:t xml:space="preserve"> </w:t>
      </w:r>
      <w:r w:rsidRPr="0065321E">
        <w:rPr>
          <w:sz w:val="22"/>
          <w:szCs w:val="22"/>
          <w:lang w:eastAsia="en-GB"/>
        </w:rPr>
        <w:t>In a particular case disclosure of, for example, a warning given for a relatively trivial offence committed many years ago by a child who has not subsequently re-offended would be likely to have no, or at least no more than negligible, relevance to the decision whether, say, that person (now an adult) could, even on the highest standards of protection, be safely employed to work with children.</w:t>
      </w:r>
      <w:r w:rsidR="00414CCB">
        <w:rPr>
          <w:sz w:val="22"/>
          <w:szCs w:val="22"/>
          <w:lang w:eastAsia="en-GB"/>
        </w:rPr>
        <w:t xml:space="preserve">  Nor is there any evidence of the</w:t>
      </w:r>
      <w:r w:rsidR="00E7047D">
        <w:rPr>
          <w:sz w:val="22"/>
          <w:szCs w:val="22"/>
          <w:lang w:eastAsia="en-GB"/>
        </w:rPr>
        <w:t xml:space="preserve"> safeguarding aspect of the scheme being undermined when the ‘step down’ system was in operation.</w:t>
      </w:r>
      <w:r w:rsidRPr="0065321E">
        <w:rPr>
          <w:sz w:val="22"/>
          <w:szCs w:val="22"/>
          <w:lang w:eastAsia="en-GB"/>
        </w:rPr>
        <w:t xml:space="preserve">  </w:t>
      </w:r>
    </w:p>
    <w:p w:rsidR="00003F72" w:rsidRDefault="00003F72" w:rsidP="00003F72">
      <w:pPr>
        <w:tabs>
          <w:tab w:val="left" w:pos="540"/>
        </w:tabs>
        <w:spacing w:line="360" w:lineRule="auto"/>
        <w:ind w:left="1440" w:hanging="1440"/>
        <w:jc w:val="both"/>
        <w:rPr>
          <w:sz w:val="22"/>
          <w:szCs w:val="22"/>
          <w:lang w:eastAsia="en-GB"/>
        </w:rPr>
      </w:pPr>
    </w:p>
    <w:p w:rsidR="00003F72" w:rsidRDefault="00003F72" w:rsidP="00003F72">
      <w:pPr>
        <w:tabs>
          <w:tab w:val="left" w:pos="540"/>
        </w:tabs>
        <w:spacing w:line="360" w:lineRule="auto"/>
        <w:ind w:left="1440" w:hanging="1440"/>
        <w:jc w:val="both"/>
        <w:rPr>
          <w:sz w:val="22"/>
          <w:szCs w:val="22"/>
          <w:lang w:eastAsia="en-GB"/>
        </w:rPr>
      </w:pPr>
      <w:r>
        <w:rPr>
          <w:sz w:val="22"/>
          <w:szCs w:val="22"/>
          <w:lang w:eastAsia="en-GB"/>
        </w:rPr>
        <w:tab/>
        <w:t>4.</w:t>
      </w:r>
      <w:r w:rsidR="00E55BED">
        <w:rPr>
          <w:sz w:val="22"/>
          <w:szCs w:val="22"/>
          <w:lang w:eastAsia="en-GB"/>
        </w:rPr>
        <w:t>31</w:t>
      </w:r>
      <w:r>
        <w:rPr>
          <w:sz w:val="22"/>
          <w:szCs w:val="22"/>
          <w:lang w:eastAsia="en-GB"/>
        </w:rPr>
        <w:t>.3</w:t>
      </w:r>
      <w:r>
        <w:rPr>
          <w:sz w:val="22"/>
          <w:szCs w:val="22"/>
          <w:lang w:eastAsia="en-GB"/>
        </w:rPr>
        <w:tab/>
        <w:t xml:space="preserve">The SSHD and SSJ Skeleton focuses upon the </w:t>
      </w:r>
      <w:r w:rsidRPr="00734896">
        <w:rPr>
          <w:i/>
          <w:sz w:val="22"/>
          <w:szCs w:val="22"/>
          <w:lang w:eastAsia="en-GB"/>
        </w:rPr>
        <w:t>“significant practical questions”</w:t>
      </w:r>
      <w:r>
        <w:rPr>
          <w:sz w:val="22"/>
          <w:szCs w:val="22"/>
          <w:lang w:eastAsia="en-GB"/>
        </w:rPr>
        <w:t xml:space="preserve"> or </w:t>
      </w:r>
      <w:r w:rsidRPr="00734896">
        <w:rPr>
          <w:i/>
          <w:sz w:val="22"/>
          <w:szCs w:val="22"/>
          <w:lang w:eastAsia="en-GB"/>
        </w:rPr>
        <w:t xml:space="preserve">“quite difficult practical questions” </w:t>
      </w:r>
      <w:r>
        <w:rPr>
          <w:sz w:val="22"/>
          <w:szCs w:val="22"/>
          <w:lang w:eastAsia="en-GB"/>
        </w:rPr>
        <w:t xml:space="preserve">(per Mr. Woodcock, </w:t>
      </w:r>
      <w:proofErr w:type="spellStart"/>
      <w:r>
        <w:rPr>
          <w:sz w:val="22"/>
          <w:szCs w:val="22"/>
          <w:lang w:eastAsia="en-GB"/>
        </w:rPr>
        <w:t>paras</w:t>
      </w:r>
      <w:proofErr w:type="spellEnd"/>
      <w:r>
        <w:rPr>
          <w:sz w:val="22"/>
          <w:szCs w:val="22"/>
          <w:lang w:eastAsia="en-GB"/>
        </w:rPr>
        <w:t xml:space="preserve">. 21 – 27 of his Witness Statement in </w:t>
      </w:r>
      <w:r w:rsidRPr="00734896">
        <w:rPr>
          <w:i/>
          <w:sz w:val="22"/>
          <w:szCs w:val="22"/>
          <w:lang w:eastAsia="en-GB"/>
        </w:rPr>
        <w:t>JB</w:t>
      </w:r>
      <w:r>
        <w:rPr>
          <w:sz w:val="22"/>
          <w:szCs w:val="22"/>
          <w:lang w:eastAsia="en-GB"/>
        </w:rPr>
        <w:t xml:space="preserve">) which would arise, were the present automatic, blanket scheme to be replaced with one which incorporates a filtering mechanism (see in particular </w:t>
      </w:r>
      <w:proofErr w:type="spellStart"/>
      <w:r>
        <w:rPr>
          <w:sz w:val="22"/>
          <w:szCs w:val="22"/>
          <w:lang w:eastAsia="en-GB"/>
        </w:rPr>
        <w:t>para</w:t>
      </w:r>
      <w:proofErr w:type="spellEnd"/>
      <w:r>
        <w:rPr>
          <w:sz w:val="22"/>
          <w:szCs w:val="22"/>
          <w:lang w:eastAsia="en-GB"/>
        </w:rPr>
        <w:t xml:space="preserve">. 31 of the Skeleton).  However this is a problem of the State’s own making.  The Commission submits that these practical difficulties have now arisen as a result of the introduction of a blanket, automatic scheme, and the SSHD cannot now rely upon the practical difficulties involved in dismantling that scheme to prove that the scheme itself is proportionate.  </w:t>
      </w:r>
    </w:p>
    <w:p w:rsidR="00003F72" w:rsidRDefault="00003F72" w:rsidP="00003F72">
      <w:pPr>
        <w:tabs>
          <w:tab w:val="left" w:pos="540"/>
        </w:tabs>
        <w:spacing w:line="360" w:lineRule="auto"/>
        <w:ind w:left="1440" w:hanging="1440"/>
        <w:jc w:val="both"/>
        <w:rPr>
          <w:sz w:val="22"/>
          <w:szCs w:val="22"/>
          <w:lang w:eastAsia="en-GB"/>
        </w:rPr>
      </w:pPr>
    </w:p>
    <w:p w:rsidR="00E55BED" w:rsidRDefault="00003F72" w:rsidP="00003F72">
      <w:pPr>
        <w:tabs>
          <w:tab w:val="left" w:pos="540"/>
        </w:tabs>
        <w:spacing w:line="360" w:lineRule="auto"/>
        <w:ind w:left="1440" w:hanging="1440"/>
        <w:jc w:val="both"/>
        <w:rPr>
          <w:sz w:val="22"/>
          <w:szCs w:val="22"/>
          <w:lang w:eastAsia="en-GB"/>
        </w:rPr>
      </w:pPr>
      <w:r>
        <w:rPr>
          <w:sz w:val="22"/>
          <w:szCs w:val="22"/>
          <w:lang w:eastAsia="en-GB"/>
        </w:rPr>
        <w:tab/>
        <w:t>4.</w:t>
      </w:r>
      <w:r w:rsidR="00E55BED">
        <w:rPr>
          <w:sz w:val="22"/>
          <w:szCs w:val="22"/>
          <w:lang w:eastAsia="en-GB"/>
        </w:rPr>
        <w:t>31</w:t>
      </w:r>
      <w:r>
        <w:rPr>
          <w:sz w:val="22"/>
          <w:szCs w:val="22"/>
          <w:lang w:eastAsia="en-GB"/>
        </w:rPr>
        <w:t>.4</w:t>
      </w:r>
      <w:r>
        <w:rPr>
          <w:sz w:val="22"/>
          <w:szCs w:val="22"/>
          <w:lang w:eastAsia="en-GB"/>
        </w:rPr>
        <w:tab/>
      </w:r>
      <w:r w:rsidR="00E55BED">
        <w:rPr>
          <w:sz w:val="22"/>
          <w:szCs w:val="22"/>
          <w:lang w:eastAsia="en-GB"/>
        </w:rPr>
        <w:t>The previous existence of the ‘step down’ scheme also undermines the SSHD and SSJ’s submissions concerning the logistical difficulties involved in introducing a form of filter.  Given the focus in their Skeleton upon the cost to the police that it is said would result from the Appellant succeeding in this appeal, it is surprising that there has been no evidence produced concerning the comparative cost to forces when they were previously operating a step down system, and subsequently.</w:t>
      </w:r>
    </w:p>
    <w:p w:rsidR="00E55BED" w:rsidRDefault="00E55BED" w:rsidP="00003F72">
      <w:pPr>
        <w:tabs>
          <w:tab w:val="left" w:pos="540"/>
        </w:tabs>
        <w:spacing w:line="360" w:lineRule="auto"/>
        <w:ind w:left="1440" w:hanging="1440"/>
        <w:jc w:val="both"/>
        <w:rPr>
          <w:sz w:val="22"/>
          <w:szCs w:val="22"/>
          <w:lang w:eastAsia="en-GB"/>
        </w:rPr>
      </w:pPr>
    </w:p>
    <w:p w:rsidR="00003F72" w:rsidRDefault="00E55BED" w:rsidP="00E55BED">
      <w:pPr>
        <w:tabs>
          <w:tab w:val="left" w:pos="540"/>
        </w:tabs>
        <w:spacing w:line="360" w:lineRule="auto"/>
        <w:ind w:left="1440" w:hanging="1440"/>
        <w:jc w:val="both"/>
        <w:rPr>
          <w:sz w:val="22"/>
          <w:szCs w:val="22"/>
          <w:lang w:eastAsia="en-GB"/>
        </w:rPr>
      </w:pPr>
      <w:r>
        <w:rPr>
          <w:sz w:val="22"/>
          <w:szCs w:val="22"/>
          <w:lang w:eastAsia="en-GB"/>
        </w:rPr>
        <w:tab/>
        <w:t xml:space="preserve">4.31.5 </w:t>
      </w:r>
      <w:r>
        <w:rPr>
          <w:sz w:val="22"/>
          <w:szCs w:val="22"/>
          <w:lang w:eastAsia="en-GB"/>
        </w:rPr>
        <w:tab/>
      </w:r>
      <w:r w:rsidR="00003F72">
        <w:rPr>
          <w:sz w:val="22"/>
          <w:szCs w:val="22"/>
          <w:lang w:eastAsia="en-GB"/>
        </w:rPr>
        <w:t xml:space="preserve">In addition to focusing upon resources and practicalities in </w:t>
      </w:r>
      <w:proofErr w:type="spellStart"/>
      <w:r w:rsidR="00003F72">
        <w:rPr>
          <w:sz w:val="22"/>
          <w:szCs w:val="22"/>
          <w:lang w:eastAsia="en-GB"/>
        </w:rPr>
        <w:t>para</w:t>
      </w:r>
      <w:proofErr w:type="spellEnd"/>
      <w:r w:rsidR="00003F72">
        <w:rPr>
          <w:sz w:val="22"/>
          <w:szCs w:val="22"/>
          <w:lang w:eastAsia="en-GB"/>
        </w:rPr>
        <w:t xml:space="preserve">. 31, at </w:t>
      </w:r>
      <w:proofErr w:type="spellStart"/>
      <w:r w:rsidR="00003F72">
        <w:rPr>
          <w:sz w:val="22"/>
          <w:szCs w:val="22"/>
          <w:lang w:eastAsia="en-GB"/>
        </w:rPr>
        <w:t>para</w:t>
      </w:r>
      <w:proofErr w:type="spellEnd"/>
      <w:r w:rsidR="00003F72">
        <w:rPr>
          <w:sz w:val="22"/>
          <w:szCs w:val="22"/>
          <w:lang w:eastAsia="en-GB"/>
        </w:rPr>
        <w:t xml:space="preserve">. 44 the SSHD and SSJ stress the </w:t>
      </w:r>
      <w:r w:rsidR="00003F72" w:rsidRPr="006A1678">
        <w:rPr>
          <w:i/>
          <w:sz w:val="22"/>
          <w:szCs w:val="22"/>
          <w:lang w:eastAsia="en-GB"/>
        </w:rPr>
        <w:t>“merit of simplicity and ease of administration” involved in a “rule-based system,”</w:t>
      </w:r>
      <w:r w:rsidR="00003F72">
        <w:rPr>
          <w:sz w:val="22"/>
          <w:szCs w:val="22"/>
          <w:lang w:eastAsia="en-GB"/>
        </w:rPr>
        <w:t xml:space="preserve"> or automatic, blanket scheme.  They refer to the advantages of </w:t>
      </w:r>
      <w:r w:rsidR="00003F72" w:rsidRPr="00001BA6">
        <w:rPr>
          <w:i/>
          <w:sz w:val="22"/>
          <w:szCs w:val="22"/>
          <w:lang w:eastAsia="en-GB"/>
        </w:rPr>
        <w:t>“bright line rules,”</w:t>
      </w:r>
      <w:r w:rsidR="00003F72">
        <w:rPr>
          <w:sz w:val="22"/>
          <w:szCs w:val="22"/>
          <w:lang w:eastAsia="en-GB"/>
        </w:rPr>
        <w:t xml:space="preserve"> even if they lead to harsh effects in individual cases.  The Commission does not accept this analysis, as set out above.  Further, the paragraph of Lord Bingham’s judgment in the </w:t>
      </w:r>
      <w:r w:rsidR="00003F72" w:rsidRPr="00001BA6">
        <w:rPr>
          <w:i/>
          <w:sz w:val="22"/>
          <w:szCs w:val="22"/>
          <w:lang w:eastAsia="en-GB"/>
        </w:rPr>
        <w:t>Animal Defenders</w:t>
      </w:r>
      <w:r w:rsidR="00003F72">
        <w:rPr>
          <w:sz w:val="22"/>
          <w:szCs w:val="22"/>
          <w:lang w:eastAsia="en-GB"/>
        </w:rPr>
        <w:t xml:space="preserve"> case cited in </w:t>
      </w:r>
      <w:proofErr w:type="spellStart"/>
      <w:r w:rsidR="00003F72">
        <w:rPr>
          <w:sz w:val="22"/>
          <w:szCs w:val="22"/>
          <w:lang w:eastAsia="en-GB"/>
        </w:rPr>
        <w:t>para</w:t>
      </w:r>
      <w:proofErr w:type="spellEnd"/>
      <w:r w:rsidR="00003F72">
        <w:rPr>
          <w:sz w:val="22"/>
          <w:szCs w:val="22"/>
          <w:lang w:eastAsia="en-GB"/>
        </w:rPr>
        <w:t xml:space="preserve">. 44 of the SSHD and SSJ’s Skeleton is wholly out-of-context.  Para. 33 of Lord Bingham’s judgment appeared in a section concerning whether the challenged ban on political advertising was indeed the least </w:t>
      </w:r>
      <w:r w:rsidR="00003F72">
        <w:rPr>
          <w:sz w:val="22"/>
          <w:szCs w:val="22"/>
          <w:lang w:eastAsia="en-GB"/>
        </w:rPr>
        <w:lastRenderedPageBreak/>
        <w:t xml:space="preserve">restrictive means of achieving the legitimate objective in that case.  It began with the following clear statement, in </w:t>
      </w:r>
      <w:proofErr w:type="spellStart"/>
      <w:r w:rsidR="00003F72">
        <w:rPr>
          <w:sz w:val="22"/>
          <w:szCs w:val="22"/>
          <w:lang w:eastAsia="en-GB"/>
        </w:rPr>
        <w:t>para</w:t>
      </w:r>
      <w:proofErr w:type="spellEnd"/>
      <w:r w:rsidR="00003F72">
        <w:rPr>
          <w:sz w:val="22"/>
          <w:szCs w:val="22"/>
          <w:lang w:eastAsia="en-GB"/>
        </w:rPr>
        <w:t>. 31:</w:t>
      </w:r>
    </w:p>
    <w:p w:rsidR="00003F72" w:rsidRDefault="00003F72" w:rsidP="00003F72">
      <w:pPr>
        <w:tabs>
          <w:tab w:val="left" w:pos="540"/>
        </w:tabs>
        <w:spacing w:line="360" w:lineRule="auto"/>
        <w:ind w:left="1440" w:hanging="1440"/>
        <w:jc w:val="both"/>
        <w:rPr>
          <w:sz w:val="22"/>
          <w:szCs w:val="22"/>
          <w:lang w:eastAsia="en-GB"/>
        </w:rPr>
      </w:pPr>
    </w:p>
    <w:p w:rsidR="00003F72" w:rsidRPr="00001BA6" w:rsidRDefault="00003F72" w:rsidP="00003F72">
      <w:pPr>
        <w:tabs>
          <w:tab w:val="left" w:pos="540"/>
        </w:tabs>
        <w:ind w:left="2160" w:hanging="1440"/>
        <w:jc w:val="both"/>
        <w:rPr>
          <w:i/>
          <w:sz w:val="22"/>
          <w:szCs w:val="22"/>
          <w:lang w:eastAsia="en-GB"/>
        </w:rPr>
      </w:pPr>
      <w:r>
        <w:rPr>
          <w:i/>
          <w:sz w:val="22"/>
          <w:szCs w:val="22"/>
        </w:rPr>
        <w:tab/>
        <w:t>“</w:t>
      </w:r>
      <w:r w:rsidRPr="00001BA6">
        <w:rPr>
          <w:i/>
          <w:sz w:val="22"/>
          <w:szCs w:val="22"/>
        </w:rPr>
        <w:t>Since, in principle, no restriction may be wider than is necessary to promote the legitimate object which it exists to serve, it is necessary to ask whether any restriction on political advertising less absolute than that laid down in sections 319 and 321 would suffice to meet the mischief in question.</w:t>
      </w:r>
      <w:r>
        <w:rPr>
          <w:i/>
          <w:sz w:val="22"/>
          <w:szCs w:val="22"/>
        </w:rPr>
        <w:t>..”</w:t>
      </w:r>
      <w:r w:rsidRPr="00001BA6">
        <w:rPr>
          <w:i/>
          <w:sz w:val="22"/>
          <w:szCs w:val="22"/>
        </w:rPr>
        <w:t xml:space="preserve"> </w:t>
      </w:r>
    </w:p>
    <w:p w:rsidR="00003F72" w:rsidRDefault="00003F72" w:rsidP="00003F72">
      <w:pPr>
        <w:tabs>
          <w:tab w:val="left" w:pos="540"/>
        </w:tabs>
        <w:spacing w:line="360" w:lineRule="auto"/>
        <w:ind w:left="1440" w:hanging="1440"/>
        <w:jc w:val="both"/>
        <w:rPr>
          <w:sz w:val="22"/>
          <w:szCs w:val="22"/>
          <w:lang w:eastAsia="en-GB"/>
        </w:rPr>
      </w:pPr>
    </w:p>
    <w:p w:rsidR="00003F72" w:rsidRDefault="00003F72" w:rsidP="00003F72">
      <w:pPr>
        <w:tabs>
          <w:tab w:val="left" w:pos="540"/>
        </w:tabs>
        <w:spacing w:line="360" w:lineRule="auto"/>
        <w:ind w:left="1440" w:hanging="1440"/>
        <w:jc w:val="both"/>
        <w:rPr>
          <w:sz w:val="22"/>
          <w:szCs w:val="22"/>
          <w:lang w:eastAsia="en-GB"/>
        </w:rPr>
      </w:pPr>
      <w:r>
        <w:rPr>
          <w:sz w:val="22"/>
          <w:szCs w:val="22"/>
          <w:lang w:eastAsia="en-GB"/>
        </w:rPr>
        <w:tab/>
      </w:r>
      <w:r>
        <w:rPr>
          <w:sz w:val="22"/>
          <w:szCs w:val="22"/>
          <w:lang w:eastAsia="en-GB"/>
        </w:rPr>
        <w:tab/>
        <w:t xml:space="preserve">In contrast, in the present case the SSHD and SSJ suggest that </w:t>
      </w:r>
      <w:r w:rsidRPr="00001BA6">
        <w:rPr>
          <w:i/>
          <w:sz w:val="22"/>
          <w:szCs w:val="22"/>
          <w:lang w:eastAsia="en-GB"/>
        </w:rPr>
        <w:t>“bright line rules”</w:t>
      </w:r>
      <w:r>
        <w:rPr>
          <w:sz w:val="22"/>
          <w:szCs w:val="22"/>
          <w:lang w:eastAsia="en-GB"/>
        </w:rPr>
        <w:t xml:space="preserve"> have, in themselves, been approved by the courts, regardless of the consequences for </w:t>
      </w:r>
      <w:r w:rsidRPr="00001BA6">
        <w:rPr>
          <w:i/>
          <w:sz w:val="22"/>
          <w:szCs w:val="22"/>
          <w:lang w:eastAsia="en-GB"/>
        </w:rPr>
        <w:t>“cases at the margins</w:t>
      </w:r>
      <w:r>
        <w:rPr>
          <w:sz w:val="22"/>
          <w:szCs w:val="22"/>
          <w:lang w:eastAsia="en-GB"/>
        </w:rPr>
        <w:t xml:space="preserve">”.  Read in context, Lord Bingham’s comments at </w:t>
      </w:r>
      <w:proofErr w:type="spellStart"/>
      <w:r>
        <w:rPr>
          <w:sz w:val="22"/>
          <w:szCs w:val="22"/>
          <w:lang w:eastAsia="en-GB"/>
        </w:rPr>
        <w:t>para</w:t>
      </w:r>
      <w:proofErr w:type="spellEnd"/>
      <w:r>
        <w:rPr>
          <w:sz w:val="22"/>
          <w:szCs w:val="22"/>
          <w:lang w:eastAsia="en-GB"/>
        </w:rPr>
        <w:t xml:space="preserve">. 33 of </w:t>
      </w:r>
      <w:r w:rsidRPr="00001BA6">
        <w:rPr>
          <w:i/>
          <w:sz w:val="22"/>
          <w:szCs w:val="22"/>
          <w:lang w:eastAsia="en-GB"/>
        </w:rPr>
        <w:t xml:space="preserve">Animal Defenders </w:t>
      </w:r>
      <w:r>
        <w:rPr>
          <w:sz w:val="22"/>
          <w:szCs w:val="22"/>
          <w:lang w:eastAsia="en-GB"/>
        </w:rPr>
        <w:t xml:space="preserve">do not support this claim.  </w:t>
      </w:r>
    </w:p>
    <w:p w:rsidR="00003F72" w:rsidRDefault="001758EF" w:rsidP="00FA20B7">
      <w:pPr>
        <w:tabs>
          <w:tab w:val="left" w:pos="540"/>
        </w:tabs>
        <w:spacing w:line="360" w:lineRule="auto"/>
        <w:ind w:left="540" w:hanging="540"/>
        <w:jc w:val="both"/>
        <w:rPr>
          <w:sz w:val="22"/>
          <w:szCs w:val="22"/>
        </w:rPr>
      </w:pPr>
      <w:r>
        <w:rPr>
          <w:sz w:val="22"/>
          <w:szCs w:val="22"/>
        </w:rPr>
        <w:tab/>
      </w:r>
    </w:p>
    <w:p w:rsidR="00E70DB4" w:rsidRDefault="001758EF" w:rsidP="00E7047D">
      <w:pPr>
        <w:tabs>
          <w:tab w:val="left" w:pos="540"/>
        </w:tabs>
        <w:spacing w:line="360" w:lineRule="auto"/>
        <w:ind w:left="1440" w:hanging="1440"/>
        <w:jc w:val="both"/>
        <w:rPr>
          <w:sz w:val="22"/>
          <w:szCs w:val="22"/>
          <w:lang w:eastAsia="en-GB"/>
        </w:rPr>
      </w:pPr>
      <w:r>
        <w:rPr>
          <w:sz w:val="22"/>
          <w:szCs w:val="22"/>
        </w:rPr>
        <w:tab/>
        <w:t>4.31.6</w:t>
      </w:r>
      <w:r>
        <w:rPr>
          <w:sz w:val="22"/>
          <w:szCs w:val="22"/>
        </w:rPr>
        <w:tab/>
      </w:r>
      <w:r>
        <w:rPr>
          <w:sz w:val="22"/>
          <w:szCs w:val="22"/>
          <w:lang w:eastAsia="en-GB"/>
        </w:rPr>
        <w:t>The SSHD and SSJ Skeleton makes clear that the possibility of introducing a filter mechanism is being explored (</w:t>
      </w:r>
      <w:proofErr w:type="spellStart"/>
      <w:r>
        <w:rPr>
          <w:sz w:val="22"/>
          <w:szCs w:val="22"/>
          <w:lang w:eastAsia="en-GB"/>
        </w:rPr>
        <w:t>para</w:t>
      </w:r>
      <w:proofErr w:type="spellEnd"/>
      <w:r>
        <w:rPr>
          <w:sz w:val="22"/>
          <w:szCs w:val="22"/>
          <w:lang w:eastAsia="en-GB"/>
        </w:rPr>
        <w:t>. 32) and that there is no suggestion such a scheme could not be made to work (</w:t>
      </w:r>
      <w:proofErr w:type="spellStart"/>
      <w:r>
        <w:rPr>
          <w:sz w:val="22"/>
          <w:szCs w:val="22"/>
          <w:lang w:eastAsia="en-GB"/>
        </w:rPr>
        <w:t>para</w:t>
      </w:r>
      <w:proofErr w:type="spellEnd"/>
      <w:r>
        <w:rPr>
          <w:sz w:val="22"/>
          <w:szCs w:val="22"/>
          <w:lang w:eastAsia="en-GB"/>
        </w:rPr>
        <w:t>. 62).  In these circumstances, it is difficult to see how they can sustain a submission that the current, blanket scheme is the ‘least restrictive means’ available to them, and thus a ‘necessary’ restriction upon the Article 8(1) rights of T and others.</w:t>
      </w:r>
    </w:p>
    <w:p w:rsidR="00E70DB4" w:rsidRDefault="00E70DB4" w:rsidP="00FA20B7">
      <w:pPr>
        <w:tabs>
          <w:tab w:val="left" w:pos="540"/>
        </w:tabs>
        <w:spacing w:line="360" w:lineRule="auto"/>
        <w:ind w:left="540" w:hanging="540"/>
        <w:jc w:val="both"/>
        <w:rPr>
          <w:sz w:val="22"/>
          <w:szCs w:val="22"/>
        </w:rPr>
      </w:pPr>
    </w:p>
    <w:p w:rsidR="00A31B13" w:rsidRDefault="00E70DB4" w:rsidP="00A31B13">
      <w:pPr>
        <w:tabs>
          <w:tab w:val="left" w:pos="540"/>
        </w:tabs>
        <w:spacing w:line="360" w:lineRule="auto"/>
        <w:ind w:left="540" w:hanging="540"/>
        <w:jc w:val="both"/>
        <w:rPr>
          <w:sz w:val="22"/>
          <w:szCs w:val="22"/>
          <w:lang w:eastAsia="en-GB"/>
        </w:rPr>
      </w:pPr>
      <w:r>
        <w:rPr>
          <w:sz w:val="22"/>
          <w:szCs w:val="22"/>
        </w:rPr>
        <w:t>4.</w:t>
      </w:r>
      <w:r w:rsidR="00E55BED">
        <w:rPr>
          <w:sz w:val="22"/>
          <w:szCs w:val="22"/>
        </w:rPr>
        <w:t>32</w:t>
      </w:r>
      <w:r>
        <w:rPr>
          <w:sz w:val="22"/>
          <w:szCs w:val="22"/>
        </w:rPr>
        <w:tab/>
      </w:r>
      <w:r w:rsidR="00A749D9">
        <w:rPr>
          <w:sz w:val="22"/>
          <w:szCs w:val="22"/>
        </w:rPr>
        <w:t xml:space="preserve">The Commission’s view is that </w:t>
      </w:r>
      <w:r w:rsidR="00E55BED">
        <w:rPr>
          <w:sz w:val="22"/>
          <w:szCs w:val="22"/>
        </w:rPr>
        <w:t>a blanket, general and indiscriminate policy of disclosure cannot be justified under Article 8(2).  A blanket policy is the antithesis of proportionate</w:t>
      </w:r>
      <w:r w:rsidR="008B6179">
        <w:rPr>
          <w:sz w:val="22"/>
          <w:szCs w:val="22"/>
        </w:rPr>
        <w:t xml:space="preserve">.  It takes no account of whether the conviction or non-conviction disposal is spent or unspent, the seriousness of the offence, the passage of time, the age of the person at the time, or any other factor.  </w:t>
      </w:r>
      <w:r w:rsidR="00A31B13">
        <w:rPr>
          <w:sz w:val="22"/>
          <w:szCs w:val="22"/>
        </w:rPr>
        <w:t xml:space="preserve">There is no filtering mechanism in place </w:t>
      </w:r>
      <w:r w:rsidR="00A31B13">
        <w:rPr>
          <w:sz w:val="22"/>
          <w:szCs w:val="22"/>
          <w:lang w:eastAsia="en-GB"/>
        </w:rPr>
        <w:t xml:space="preserve">under the 1997 Act which allows for consideration of whether the information is in fact relevant in the individual case – as the definition of ‘any relevant matter’ is statutorily fixed.  The Commission’s view is that </w:t>
      </w:r>
      <w:r w:rsidR="00A31B13" w:rsidRPr="0065321E">
        <w:rPr>
          <w:sz w:val="22"/>
          <w:szCs w:val="22"/>
          <w:lang w:eastAsia="en-GB"/>
        </w:rPr>
        <w:t>disclosure could be proportionate in a particular case only if it were relevant to the decision for which disclosure was required.</w:t>
      </w:r>
      <w:r w:rsidR="00A31B13">
        <w:rPr>
          <w:sz w:val="22"/>
          <w:szCs w:val="22"/>
          <w:lang w:eastAsia="en-GB"/>
        </w:rPr>
        <w:t xml:space="preserve">  </w:t>
      </w:r>
      <w:r w:rsidR="00A31B13">
        <w:rPr>
          <w:sz w:val="22"/>
          <w:szCs w:val="22"/>
        </w:rPr>
        <w:t xml:space="preserve">As the Commission submitted in the recent </w:t>
      </w:r>
      <w:r w:rsidR="008D41A1" w:rsidRPr="008D41A1">
        <w:rPr>
          <w:i/>
          <w:sz w:val="22"/>
          <w:szCs w:val="22"/>
        </w:rPr>
        <w:t>RMC</w:t>
      </w:r>
      <w:r w:rsidR="00A31B13">
        <w:rPr>
          <w:sz w:val="22"/>
          <w:szCs w:val="22"/>
        </w:rPr>
        <w:t xml:space="preserve"> case, an indiscriminate regime is inimical to proportionate governance.</w:t>
      </w:r>
    </w:p>
    <w:p w:rsidR="00A31B13" w:rsidRDefault="00A31B13" w:rsidP="00E70DB4">
      <w:pPr>
        <w:tabs>
          <w:tab w:val="left" w:pos="540"/>
        </w:tabs>
        <w:spacing w:line="360" w:lineRule="auto"/>
        <w:ind w:left="540" w:hanging="540"/>
        <w:jc w:val="both"/>
        <w:rPr>
          <w:sz w:val="22"/>
          <w:szCs w:val="22"/>
        </w:rPr>
      </w:pPr>
    </w:p>
    <w:p w:rsidR="00E55BED" w:rsidRDefault="00A31B13" w:rsidP="00E70DB4">
      <w:pPr>
        <w:tabs>
          <w:tab w:val="left" w:pos="540"/>
        </w:tabs>
        <w:spacing w:line="360" w:lineRule="auto"/>
        <w:ind w:left="540" w:hanging="540"/>
        <w:jc w:val="both"/>
        <w:rPr>
          <w:sz w:val="22"/>
          <w:szCs w:val="22"/>
        </w:rPr>
      </w:pPr>
      <w:r>
        <w:rPr>
          <w:sz w:val="22"/>
          <w:szCs w:val="22"/>
        </w:rPr>
        <w:t xml:space="preserve">4.33 </w:t>
      </w:r>
      <w:r w:rsidR="00E55BED">
        <w:rPr>
          <w:sz w:val="22"/>
          <w:szCs w:val="22"/>
        </w:rPr>
        <w:t xml:space="preserve"> </w:t>
      </w:r>
      <w:r w:rsidR="000C4CA5">
        <w:rPr>
          <w:sz w:val="22"/>
          <w:szCs w:val="22"/>
        </w:rPr>
        <w:t xml:space="preserve">The Commission also notes that the SSHD and SSJ submissions concerning the value of bright lines, despite harsh effects in individual cases, closely echoes the language adopted by Lord Justice Kennedy in the Divisional Court in </w:t>
      </w:r>
      <w:proofErr w:type="spellStart"/>
      <w:r w:rsidR="008D41A1" w:rsidRPr="008D41A1">
        <w:rPr>
          <w:i/>
          <w:sz w:val="22"/>
          <w:szCs w:val="22"/>
        </w:rPr>
        <w:t>Hirst</w:t>
      </w:r>
      <w:proofErr w:type="spellEnd"/>
      <w:r w:rsidR="000C4CA5">
        <w:rPr>
          <w:sz w:val="22"/>
          <w:szCs w:val="22"/>
        </w:rPr>
        <w:t xml:space="preserve">, cited at </w:t>
      </w:r>
      <w:proofErr w:type="spellStart"/>
      <w:r w:rsidR="000C4CA5">
        <w:rPr>
          <w:sz w:val="22"/>
          <w:szCs w:val="22"/>
        </w:rPr>
        <w:t>para</w:t>
      </w:r>
      <w:proofErr w:type="spellEnd"/>
      <w:r w:rsidR="000C4CA5">
        <w:rPr>
          <w:sz w:val="22"/>
          <w:szCs w:val="22"/>
        </w:rPr>
        <w:t>. 16 of the Grand Chamber’s judgment (which unequivocally rejected the domestic court’s approach):</w:t>
      </w:r>
    </w:p>
    <w:p w:rsidR="000C4CA5" w:rsidRDefault="000C4CA5" w:rsidP="00E70DB4">
      <w:pPr>
        <w:tabs>
          <w:tab w:val="left" w:pos="540"/>
        </w:tabs>
        <w:spacing w:line="360" w:lineRule="auto"/>
        <w:ind w:left="540" w:hanging="540"/>
        <w:jc w:val="both"/>
        <w:rPr>
          <w:sz w:val="22"/>
          <w:szCs w:val="22"/>
        </w:rPr>
      </w:pPr>
    </w:p>
    <w:p w:rsidR="000C4CA5" w:rsidRDefault="000C4CA5" w:rsidP="00E70DB4">
      <w:pPr>
        <w:tabs>
          <w:tab w:val="left" w:pos="540"/>
        </w:tabs>
        <w:spacing w:line="360" w:lineRule="auto"/>
        <w:ind w:left="540" w:hanging="540"/>
        <w:jc w:val="both"/>
        <w:rPr>
          <w:sz w:val="22"/>
          <w:szCs w:val="22"/>
        </w:rPr>
      </w:pPr>
    </w:p>
    <w:p w:rsidR="0058263E" w:rsidRDefault="000C4CA5">
      <w:pPr>
        <w:tabs>
          <w:tab w:val="left" w:pos="540"/>
        </w:tabs>
        <w:ind w:left="1440" w:right="1134" w:hanging="540"/>
        <w:jc w:val="both"/>
        <w:rPr>
          <w:sz w:val="22"/>
          <w:szCs w:val="22"/>
        </w:rPr>
      </w:pPr>
      <w:r>
        <w:rPr>
          <w:sz w:val="22"/>
          <w:szCs w:val="22"/>
        </w:rPr>
        <w:tab/>
      </w:r>
      <w:r w:rsidR="008D41A1" w:rsidRPr="008D41A1">
        <w:rPr>
          <w:i/>
          <w:sz w:val="22"/>
          <w:szCs w:val="22"/>
          <w:lang w:eastAsia="en-GB"/>
        </w:rPr>
        <w:t>“... I return to what was said by the European Court in paragraph 52 of its judgment in Mathieu-</w:t>
      </w:r>
      <w:proofErr w:type="spellStart"/>
      <w:r w:rsidR="008D41A1" w:rsidRPr="008D41A1">
        <w:rPr>
          <w:i/>
          <w:sz w:val="22"/>
          <w:szCs w:val="22"/>
          <w:lang w:eastAsia="en-GB"/>
        </w:rPr>
        <w:t>Mohin</w:t>
      </w:r>
      <w:proofErr w:type="spellEnd"/>
      <w:r w:rsidR="008D41A1" w:rsidRPr="008D41A1">
        <w:rPr>
          <w:i/>
          <w:sz w:val="22"/>
          <w:szCs w:val="22"/>
          <w:lang w:eastAsia="en-GB"/>
        </w:rPr>
        <w:t>. Of course as far as an individual prisoner is concerned disenfranchisement does impair the very essence of his right to vote, but that is too simplistic an approach, because what Article 3 of the First Protocol is really concerned with is the wider question of universal franchise, and ‘the free expression of the opinion of the people in the choice of the legislature’. If an individual is to be disenfranchised that must be in the pursuit of a legitimate aim. In the case of a convicted prisoner serving his sentence the aim may not be easy to articulate. Clearly there is an element of punishment, and also an element of electoral law.</w:t>
      </w:r>
      <w:r>
        <w:rPr>
          <w:i/>
          <w:sz w:val="22"/>
          <w:szCs w:val="22"/>
          <w:lang w:eastAsia="en-GB"/>
        </w:rPr>
        <w:t>..</w:t>
      </w:r>
      <w:r w:rsidR="008D41A1" w:rsidRPr="008D41A1">
        <w:rPr>
          <w:i/>
          <w:sz w:val="22"/>
          <w:szCs w:val="22"/>
          <w:lang w:eastAsia="en-GB"/>
        </w:rPr>
        <w:t xml:space="preserve"> </w:t>
      </w:r>
    </w:p>
    <w:p w:rsidR="0058263E" w:rsidRDefault="0058263E">
      <w:pPr>
        <w:ind w:right="1134"/>
        <w:rPr>
          <w:i/>
          <w:sz w:val="22"/>
          <w:szCs w:val="22"/>
          <w:lang w:eastAsia="en-GB"/>
        </w:rPr>
      </w:pPr>
    </w:p>
    <w:p w:rsidR="0058263E" w:rsidRDefault="008D41A1">
      <w:pPr>
        <w:ind w:left="1440" w:right="1134"/>
        <w:rPr>
          <w:i/>
          <w:sz w:val="22"/>
          <w:szCs w:val="22"/>
          <w:lang w:eastAsia="en-GB"/>
        </w:rPr>
      </w:pPr>
      <w:r w:rsidRPr="008D41A1">
        <w:rPr>
          <w:i/>
          <w:sz w:val="22"/>
          <w:szCs w:val="22"/>
          <w:lang w:eastAsia="en-GB"/>
        </w:rPr>
        <w:t xml:space="preserve">The European Court also requires that the means employed to restrict the implied Convention rights to vote are not disproportionate, and that is the point at which, as it seems to me, it is appropriate for this court to defer to the legislature. It is easy to be critical of a law which operates against a wide spectrum (e.g. in relation to its effect on post-tariff discretionary life prisoners, and those detained under some provision </w:t>
      </w:r>
      <w:r w:rsidR="000C4CA5">
        <w:rPr>
          <w:i/>
          <w:sz w:val="22"/>
          <w:szCs w:val="22"/>
          <w:lang w:eastAsia="en-GB"/>
        </w:rPr>
        <w:t xml:space="preserve">of the Mental Health Act 1983)... </w:t>
      </w:r>
      <w:r w:rsidRPr="008D41A1">
        <w:rPr>
          <w:i/>
          <w:sz w:val="22"/>
          <w:szCs w:val="22"/>
          <w:lang w:eastAsia="en-GB"/>
        </w:rPr>
        <w:t>I would accept that the tailoring process seldom admits of perfection, so the courts must afford some leeway to the legislator. As [counsel for the Secretary of State] submits, there is a broad spectrum of approaches among democratic societies, and the United Kingdom falls into the middle of the spectrum. In course of time this position may move, either by way of further fine tuning, as was recently done in relation to remand prisoners and others, or more radically, but its position in the spectrum is plainly a matter for Parliament not for the courts. That applies even to the ‘hard cases’ of post-tariff discretionary life sentence prisoners... They have all been convicted and if, for example, Parliament were to have said that all those sentenced to life imprisonment lose the franchise for life the apparent anomaly of their position would disappear. ...</w:t>
      </w:r>
      <w:r w:rsidR="000C4CA5">
        <w:rPr>
          <w:i/>
          <w:sz w:val="22"/>
          <w:szCs w:val="22"/>
          <w:lang w:eastAsia="en-GB"/>
        </w:rPr>
        <w:t>”</w:t>
      </w:r>
    </w:p>
    <w:p w:rsidR="006D1477" w:rsidRDefault="006D1477" w:rsidP="00E7047D">
      <w:pPr>
        <w:tabs>
          <w:tab w:val="left" w:pos="540"/>
        </w:tabs>
        <w:spacing w:line="360" w:lineRule="auto"/>
        <w:jc w:val="both"/>
        <w:rPr>
          <w:sz w:val="22"/>
          <w:szCs w:val="22"/>
          <w:lang w:eastAsia="en-GB"/>
        </w:rPr>
      </w:pPr>
    </w:p>
    <w:p w:rsidR="009F0EE5" w:rsidRDefault="006D1477" w:rsidP="006D1477">
      <w:pPr>
        <w:tabs>
          <w:tab w:val="left" w:pos="540"/>
        </w:tabs>
        <w:spacing w:line="360" w:lineRule="auto"/>
        <w:ind w:left="540" w:hanging="540"/>
        <w:jc w:val="both"/>
        <w:rPr>
          <w:sz w:val="22"/>
          <w:szCs w:val="22"/>
          <w:lang w:eastAsia="en-GB"/>
        </w:rPr>
      </w:pPr>
      <w:r>
        <w:rPr>
          <w:sz w:val="22"/>
          <w:szCs w:val="22"/>
          <w:lang w:eastAsia="en-GB"/>
        </w:rPr>
        <w:t>4.</w:t>
      </w:r>
      <w:r w:rsidR="000C4CA5">
        <w:rPr>
          <w:sz w:val="22"/>
          <w:szCs w:val="22"/>
          <w:lang w:eastAsia="en-GB"/>
        </w:rPr>
        <w:t>34</w:t>
      </w:r>
      <w:r>
        <w:rPr>
          <w:sz w:val="22"/>
          <w:szCs w:val="22"/>
          <w:lang w:eastAsia="en-GB"/>
        </w:rPr>
        <w:tab/>
      </w:r>
      <w:r w:rsidR="009F0EE5">
        <w:rPr>
          <w:sz w:val="22"/>
          <w:szCs w:val="22"/>
          <w:lang w:eastAsia="en-GB"/>
        </w:rPr>
        <w:t xml:space="preserve">Further, </w:t>
      </w:r>
      <w:r w:rsidR="00734896">
        <w:rPr>
          <w:sz w:val="22"/>
          <w:szCs w:val="22"/>
          <w:lang w:eastAsia="en-GB"/>
        </w:rPr>
        <w:t xml:space="preserve">of </w:t>
      </w:r>
      <w:r w:rsidR="009F0EE5">
        <w:rPr>
          <w:sz w:val="22"/>
          <w:szCs w:val="22"/>
          <w:lang w:eastAsia="en-GB"/>
        </w:rPr>
        <w:t>the</w:t>
      </w:r>
      <w:r w:rsidR="00734896">
        <w:rPr>
          <w:sz w:val="22"/>
          <w:szCs w:val="22"/>
          <w:lang w:eastAsia="en-GB"/>
        </w:rPr>
        <w:t xml:space="preserve"> four</w:t>
      </w:r>
      <w:r w:rsidR="009F0EE5">
        <w:rPr>
          <w:sz w:val="22"/>
          <w:szCs w:val="22"/>
          <w:lang w:eastAsia="en-GB"/>
        </w:rPr>
        <w:t xml:space="preserve"> </w:t>
      </w:r>
      <w:r w:rsidR="009F0EE5" w:rsidRPr="009F0EE5">
        <w:rPr>
          <w:i/>
          <w:sz w:val="22"/>
          <w:szCs w:val="22"/>
          <w:lang w:eastAsia="en-GB"/>
        </w:rPr>
        <w:t>“safeguards”</w:t>
      </w:r>
      <w:r w:rsidR="009F0EE5">
        <w:rPr>
          <w:sz w:val="22"/>
          <w:szCs w:val="22"/>
          <w:lang w:eastAsia="en-GB"/>
        </w:rPr>
        <w:t xml:space="preserve"> listed by the First Respondent in </w:t>
      </w:r>
      <w:proofErr w:type="spellStart"/>
      <w:r w:rsidR="009F0EE5">
        <w:rPr>
          <w:sz w:val="22"/>
          <w:szCs w:val="22"/>
          <w:lang w:eastAsia="en-GB"/>
        </w:rPr>
        <w:t>para</w:t>
      </w:r>
      <w:proofErr w:type="spellEnd"/>
      <w:r w:rsidR="009F0EE5">
        <w:rPr>
          <w:sz w:val="22"/>
          <w:szCs w:val="22"/>
          <w:lang w:eastAsia="en-GB"/>
        </w:rPr>
        <w:t>. 45 of his Skeleton</w:t>
      </w:r>
      <w:r w:rsidR="00734896">
        <w:rPr>
          <w:sz w:val="22"/>
          <w:szCs w:val="22"/>
          <w:lang w:eastAsia="en-GB"/>
        </w:rPr>
        <w:t>, three</w:t>
      </w:r>
      <w:r w:rsidR="009F0EE5">
        <w:rPr>
          <w:sz w:val="22"/>
          <w:szCs w:val="22"/>
          <w:lang w:eastAsia="en-GB"/>
        </w:rPr>
        <w:t xml:space="preserve"> are no such thing.  He lists four apparent safeguards: </w:t>
      </w:r>
    </w:p>
    <w:p w:rsidR="009F0EE5" w:rsidRDefault="009F0EE5" w:rsidP="006D1477">
      <w:pPr>
        <w:tabs>
          <w:tab w:val="left" w:pos="540"/>
        </w:tabs>
        <w:spacing w:line="360" w:lineRule="auto"/>
        <w:ind w:left="540" w:hanging="540"/>
        <w:jc w:val="both"/>
        <w:rPr>
          <w:sz w:val="22"/>
          <w:szCs w:val="22"/>
          <w:lang w:eastAsia="en-GB"/>
        </w:rPr>
      </w:pPr>
      <w:r>
        <w:rPr>
          <w:sz w:val="22"/>
          <w:szCs w:val="22"/>
          <w:lang w:eastAsia="en-GB"/>
        </w:rPr>
        <w:tab/>
      </w:r>
    </w:p>
    <w:p w:rsidR="00E7047D" w:rsidRDefault="009F0EE5" w:rsidP="00E7047D">
      <w:pPr>
        <w:tabs>
          <w:tab w:val="left" w:pos="540"/>
        </w:tabs>
        <w:spacing w:line="360" w:lineRule="auto"/>
        <w:ind w:left="1440" w:hanging="1440"/>
        <w:jc w:val="both"/>
        <w:rPr>
          <w:sz w:val="22"/>
          <w:szCs w:val="22"/>
          <w:lang w:eastAsia="en-GB"/>
        </w:rPr>
      </w:pPr>
      <w:r>
        <w:rPr>
          <w:sz w:val="22"/>
          <w:szCs w:val="22"/>
          <w:lang w:eastAsia="en-GB"/>
        </w:rPr>
        <w:tab/>
        <w:t xml:space="preserve">(a) </w:t>
      </w:r>
      <w:r w:rsidR="00E7047D">
        <w:rPr>
          <w:sz w:val="22"/>
          <w:szCs w:val="22"/>
          <w:lang w:eastAsia="en-GB"/>
        </w:rPr>
        <w:tab/>
      </w:r>
      <w:r>
        <w:rPr>
          <w:sz w:val="22"/>
          <w:szCs w:val="22"/>
          <w:lang w:eastAsia="en-GB"/>
        </w:rPr>
        <w:t>the Data Protection Act 1998 (‘DPA’), which does not assist T or any other individual who wishes to prevent historical adverse information from being disclosed to a prospective employer through the ECRC scheme</w:t>
      </w:r>
      <w:r w:rsidR="000C4CA5">
        <w:rPr>
          <w:sz w:val="22"/>
          <w:szCs w:val="22"/>
          <w:lang w:eastAsia="en-GB"/>
        </w:rPr>
        <w:t xml:space="preserve">.  </w:t>
      </w:r>
      <w:r w:rsidR="001758EF">
        <w:rPr>
          <w:sz w:val="22"/>
          <w:szCs w:val="22"/>
          <w:lang w:eastAsia="en-GB"/>
        </w:rPr>
        <w:t xml:space="preserve">Insofar as the information in question in this appeal is concerned, this is not a discretionary scheme, and the DPA cannot assist.  In any event, </w:t>
      </w:r>
      <w:r w:rsidR="000C4CA5">
        <w:rPr>
          <w:sz w:val="22"/>
          <w:szCs w:val="22"/>
          <w:lang w:eastAsia="en-GB"/>
        </w:rPr>
        <w:t xml:space="preserve">the insufficiency of the DPA as a safeguard in this context is clear from the decision in </w:t>
      </w:r>
      <w:r w:rsidR="008D41A1" w:rsidRPr="008D41A1">
        <w:rPr>
          <w:i/>
          <w:sz w:val="22"/>
          <w:szCs w:val="22"/>
          <w:lang w:eastAsia="en-GB"/>
        </w:rPr>
        <w:t>Chief Constable of Humberside v. Information Commissioner</w:t>
      </w:r>
      <w:r w:rsidR="000C4CA5">
        <w:rPr>
          <w:sz w:val="22"/>
          <w:szCs w:val="22"/>
          <w:lang w:eastAsia="en-GB"/>
        </w:rPr>
        <w:t xml:space="preserve"> [2010] 1 WLR 1136.  The Court of Appeal considered whether the </w:t>
      </w:r>
      <w:r w:rsidR="001758EF">
        <w:rPr>
          <w:sz w:val="22"/>
          <w:szCs w:val="22"/>
          <w:lang w:eastAsia="en-GB"/>
        </w:rPr>
        <w:t xml:space="preserve">DPA </w:t>
      </w:r>
      <w:r w:rsidR="000C4CA5">
        <w:rPr>
          <w:sz w:val="22"/>
          <w:szCs w:val="22"/>
          <w:lang w:eastAsia="en-GB"/>
        </w:rPr>
        <w:t xml:space="preserve">principles </w:t>
      </w:r>
      <w:r w:rsidR="001758EF">
        <w:rPr>
          <w:sz w:val="22"/>
          <w:szCs w:val="22"/>
          <w:lang w:eastAsia="en-GB"/>
        </w:rPr>
        <w:t xml:space="preserve">(principles 3 and 5) required that old and minor convictions be deleted from the PNC.  The Court held that so long as the police rationally and reasonably believed that the convictions served general </w:t>
      </w:r>
      <w:r w:rsidR="001758EF">
        <w:rPr>
          <w:sz w:val="22"/>
          <w:szCs w:val="22"/>
          <w:lang w:eastAsia="en-GB"/>
        </w:rPr>
        <w:lastRenderedPageBreak/>
        <w:t>police purposes, the retention could not be questioned, and the Information Commissioner was not entitled to independently assess the proportionality of the retention</w:t>
      </w:r>
      <w:r w:rsidR="00E7047D">
        <w:rPr>
          <w:sz w:val="22"/>
          <w:szCs w:val="22"/>
          <w:lang w:eastAsia="en-GB"/>
        </w:rPr>
        <w:t>;</w:t>
      </w:r>
    </w:p>
    <w:p w:rsidR="009F0EE5" w:rsidRDefault="001758EF" w:rsidP="00E7047D">
      <w:pPr>
        <w:tabs>
          <w:tab w:val="left" w:pos="540"/>
        </w:tabs>
        <w:spacing w:line="360" w:lineRule="auto"/>
        <w:ind w:left="1440" w:hanging="1440"/>
        <w:jc w:val="both"/>
        <w:rPr>
          <w:sz w:val="22"/>
          <w:szCs w:val="22"/>
          <w:lang w:eastAsia="en-GB"/>
        </w:rPr>
      </w:pPr>
      <w:r>
        <w:rPr>
          <w:sz w:val="22"/>
          <w:szCs w:val="22"/>
          <w:lang w:eastAsia="en-GB"/>
        </w:rPr>
        <w:t xml:space="preserve"> </w:t>
      </w:r>
      <w:r w:rsidR="009F0EE5">
        <w:rPr>
          <w:sz w:val="22"/>
          <w:szCs w:val="22"/>
          <w:lang w:eastAsia="en-GB"/>
        </w:rPr>
        <w:tab/>
      </w:r>
    </w:p>
    <w:p w:rsidR="009F0EE5" w:rsidRDefault="009F0EE5" w:rsidP="00E7047D">
      <w:pPr>
        <w:tabs>
          <w:tab w:val="left" w:pos="540"/>
        </w:tabs>
        <w:spacing w:line="360" w:lineRule="auto"/>
        <w:ind w:left="1440" w:hanging="1440"/>
        <w:jc w:val="both"/>
        <w:rPr>
          <w:sz w:val="22"/>
          <w:szCs w:val="22"/>
          <w:lang w:eastAsia="en-GB"/>
        </w:rPr>
      </w:pPr>
      <w:r>
        <w:rPr>
          <w:sz w:val="22"/>
          <w:szCs w:val="22"/>
          <w:lang w:eastAsia="en-GB"/>
        </w:rPr>
        <w:tab/>
        <w:t xml:space="preserve">(b) </w:t>
      </w:r>
      <w:r w:rsidR="00E7047D">
        <w:rPr>
          <w:sz w:val="22"/>
          <w:szCs w:val="22"/>
          <w:lang w:eastAsia="en-GB"/>
        </w:rPr>
        <w:tab/>
      </w:r>
      <w:r w:rsidRPr="009F0EE5">
        <w:rPr>
          <w:i/>
          <w:sz w:val="22"/>
          <w:szCs w:val="22"/>
          <w:lang w:eastAsia="en-GB"/>
        </w:rPr>
        <w:t>“the individual can ascertain what information is held by the police... [and] challenge the accuracy of the information”.</w:t>
      </w:r>
      <w:r>
        <w:rPr>
          <w:sz w:val="22"/>
          <w:szCs w:val="22"/>
          <w:lang w:eastAsia="en-GB"/>
        </w:rPr>
        <w:t xml:space="preserve">  Again, this is of no assistance in relation to historical adverse information, which is true but of no longer of any relevance to a current or future job application;</w:t>
      </w:r>
    </w:p>
    <w:p w:rsidR="009F0EE5" w:rsidRDefault="009F0EE5" w:rsidP="006D1477">
      <w:pPr>
        <w:tabs>
          <w:tab w:val="left" w:pos="540"/>
        </w:tabs>
        <w:spacing w:line="360" w:lineRule="auto"/>
        <w:ind w:left="540" w:hanging="540"/>
        <w:jc w:val="both"/>
        <w:rPr>
          <w:sz w:val="22"/>
          <w:szCs w:val="22"/>
          <w:lang w:eastAsia="en-GB"/>
        </w:rPr>
      </w:pPr>
    </w:p>
    <w:p w:rsidR="00734896" w:rsidRDefault="009F0EE5" w:rsidP="00E7047D">
      <w:pPr>
        <w:tabs>
          <w:tab w:val="left" w:pos="540"/>
        </w:tabs>
        <w:spacing w:line="360" w:lineRule="auto"/>
        <w:ind w:left="1440" w:hanging="1440"/>
        <w:jc w:val="both"/>
        <w:rPr>
          <w:sz w:val="22"/>
          <w:szCs w:val="22"/>
          <w:lang w:eastAsia="en-GB"/>
        </w:rPr>
      </w:pPr>
      <w:r>
        <w:rPr>
          <w:sz w:val="22"/>
          <w:szCs w:val="22"/>
          <w:lang w:eastAsia="en-GB"/>
        </w:rPr>
        <w:tab/>
        <w:t xml:space="preserve">(c) </w:t>
      </w:r>
      <w:r w:rsidR="00E7047D">
        <w:rPr>
          <w:sz w:val="22"/>
          <w:szCs w:val="22"/>
          <w:lang w:eastAsia="en-GB"/>
        </w:rPr>
        <w:tab/>
      </w:r>
      <w:r w:rsidR="00734896" w:rsidRPr="00734896">
        <w:rPr>
          <w:i/>
          <w:sz w:val="22"/>
          <w:szCs w:val="22"/>
          <w:lang w:eastAsia="en-GB"/>
        </w:rPr>
        <w:t>“It is a criminal offence for an individual to disclose the information in a CRC otherwise than as authorised by the Act.”</w:t>
      </w:r>
      <w:r w:rsidR="00734896">
        <w:rPr>
          <w:sz w:val="22"/>
          <w:szCs w:val="22"/>
          <w:lang w:eastAsia="en-GB"/>
        </w:rPr>
        <w:t xml:space="preserve">  Again, this is not a safeguard in respect of the interference arising from disclosure in the first place (although it does concern the potential of onward disclosure);</w:t>
      </w:r>
    </w:p>
    <w:p w:rsidR="00734896" w:rsidRDefault="00734896" w:rsidP="006D1477">
      <w:pPr>
        <w:tabs>
          <w:tab w:val="left" w:pos="540"/>
        </w:tabs>
        <w:spacing w:line="360" w:lineRule="auto"/>
        <w:ind w:left="540" w:hanging="540"/>
        <w:jc w:val="both"/>
        <w:rPr>
          <w:sz w:val="22"/>
          <w:szCs w:val="22"/>
          <w:lang w:eastAsia="en-GB"/>
        </w:rPr>
      </w:pPr>
    </w:p>
    <w:p w:rsidR="0058263E" w:rsidRDefault="00734896" w:rsidP="00E7047D">
      <w:pPr>
        <w:tabs>
          <w:tab w:val="left" w:pos="540"/>
        </w:tabs>
        <w:spacing w:line="360" w:lineRule="auto"/>
        <w:ind w:left="1440" w:hanging="1440"/>
        <w:jc w:val="both"/>
        <w:rPr>
          <w:sz w:val="22"/>
          <w:szCs w:val="22"/>
          <w:lang w:eastAsia="en-GB"/>
        </w:rPr>
      </w:pPr>
      <w:r>
        <w:rPr>
          <w:sz w:val="22"/>
          <w:szCs w:val="22"/>
          <w:lang w:eastAsia="en-GB"/>
        </w:rPr>
        <w:tab/>
        <w:t xml:space="preserve">(d) </w:t>
      </w:r>
      <w:r w:rsidR="00E7047D">
        <w:rPr>
          <w:sz w:val="22"/>
          <w:szCs w:val="22"/>
          <w:lang w:eastAsia="en-GB"/>
        </w:rPr>
        <w:tab/>
      </w:r>
      <w:r w:rsidRPr="00734896">
        <w:rPr>
          <w:i/>
          <w:sz w:val="22"/>
          <w:szCs w:val="22"/>
          <w:lang w:eastAsia="en-GB"/>
        </w:rPr>
        <w:t>“The 1997 Act does not prevent the applicant from making representations to an employer.”</w:t>
      </w:r>
      <w:r>
        <w:rPr>
          <w:sz w:val="22"/>
          <w:szCs w:val="22"/>
          <w:lang w:eastAsia="en-GB"/>
        </w:rPr>
        <w:t xml:space="preserve">  This is the distinction between an automatic exclusion from employment, and the present case, addressed above by the Commission.</w:t>
      </w:r>
    </w:p>
    <w:p w:rsidR="002F5974" w:rsidRDefault="002F5974" w:rsidP="00E7047D">
      <w:pPr>
        <w:tabs>
          <w:tab w:val="left" w:pos="540"/>
        </w:tabs>
        <w:spacing w:line="360" w:lineRule="auto"/>
        <w:ind w:left="567" w:hanging="567"/>
        <w:jc w:val="both"/>
        <w:rPr>
          <w:sz w:val="22"/>
          <w:szCs w:val="22"/>
          <w:lang w:eastAsia="en-GB"/>
        </w:rPr>
      </w:pPr>
    </w:p>
    <w:p w:rsidR="006D1477" w:rsidRDefault="002F5974" w:rsidP="00E7047D">
      <w:pPr>
        <w:tabs>
          <w:tab w:val="left" w:pos="540"/>
        </w:tabs>
        <w:spacing w:line="360" w:lineRule="auto"/>
        <w:ind w:left="567" w:hanging="567"/>
        <w:jc w:val="both"/>
        <w:rPr>
          <w:sz w:val="22"/>
          <w:szCs w:val="22"/>
        </w:rPr>
      </w:pPr>
      <w:r>
        <w:rPr>
          <w:sz w:val="22"/>
          <w:szCs w:val="22"/>
          <w:lang w:eastAsia="en-GB"/>
        </w:rPr>
        <w:t>4.</w:t>
      </w:r>
      <w:r w:rsidR="001758EF">
        <w:rPr>
          <w:sz w:val="22"/>
          <w:szCs w:val="22"/>
          <w:lang w:eastAsia="en-GB"/>
        </w:rPr>
        <w:t>35</w:t>
      </w:r>
      <w:r>
        <w:rPr>
          <w:sz w:val="22"/>
          <w:szCs w:val="22"/>
          <w:lang w:eastAsia="en-GB"/>
        </w:rPr>
        <w:tab/>
      </w:r>
      <w:r w:rsidR="006D1477" w:rsidRPr="002F5974">
        <w:rPr>
          <w:sz w:val="22"/>
          <w:szCs w:val="22"/>
        </w:rPr>
        <w:t>The Commission is particularly concerned that under the legal f</w:t>
      </w:r>
      <w:r>
        <w:rPr>
          <w:sz w:val="22"/>
          <w:szCs w:val="22"/>
        </w:rPr>
        <w:t>ramework, as interpreted by the</w:t>
      </w:r>
      <w:r w:rsidR="00E7047D">
        <w:rPr>
          <w:sz w:val="22"/>
          <w:szCs w:val="22"/>
        </w:rPr>
        <w:t xml:space="preserve"> </w:t>
      </w:r>
      <w:r w:rsidR="006D1477" w:rsidRPr="002F5974">
        <w:rPr>
          <w:sz w:val="22"/>
          <w:szCs w:val="22"/>
        </w:rPr>
        <w:t xml:space="preserve">Administrative Court, </w:t>
      </w:r>
      <w:r w:rsidR="006D1477" w:rsidRPr="002F5974">
        <w:rPr>
          <w:sz w:val="22"/>
          <w:szCs w:val="22"/>
          <w:lang w:eastAsia="en-GB"/>
        </w:rPr>
        <w:t xml:space="preserve">there is no mechanism at all for reviewing whether the information relating to a warning given in the circumstances outlined continues to serve any useful purpose in terms of the relevant public policy.  The result is that disclosure of such information would, therefore, simply interfere with Article 8 rights without advancing any legitimate public interest – save for the purported public interest in certainty and ‘bright lines’ referred to in </w:t>
      </w:r>
      <w:proofErr w:type="spellStart"/>
      <w:r w:rsidR="006D1477" w:rsidRPr="002F5974">
        <w:rPr>
          <w:sz w:val="22"/>
          <w:szCs w:val="22"/>
          <w:lang w:eastAsia="en-GB"/>
        </w:rPr>
        <w:t>para</w:t>
      </w:r>
      <w:proofErr w:type="spellEnd"/>
      <w:r w:rsidR="006D1477" w:rsidRPr="002F5974">
        <w:rPr>
          <w:sz w:val="22"/>
          <w:szCs w:val="22"/>
          <w:lang w:eastAsia="en-GB"/>
        </w:rPr>
        <w:t>. 17 of the judgment</w:t>
      </w:r>
      <w:r>
        <w:rPr>
          <w:sz w:val="22"/>
          <w:szCs w:val="22"/>
          <w:lang w:eastAsia="en-GB"/>
        </w:rPr>
        <w:t xml:space="preserve">, and </w:t>
      </w:r>
      <w:proofErr w:type="spellStart"/>
      <w:r>
        <w:rPr>
          <w:sz w:val="22"/>
          <w:szCs w:val="22"/>
          <w:lang w:eastAsia="en-GB"/>
        </w:rPr>
        <w:t>para</w:t>
      </w:r>
      <w:proofErr w:type="spellEnd"/>
      <w:r>
        <w:rPr>
          <w:sz w:val="22"/>
          <w:szCs w:val="22"/>
          <w:lang w:eastAsia="en-GB"/>
        </w:rPr>
        <w:t>. 44 of the SSHD and SSJ’s Skeleton</w:t>
      </w:r>
      <w:r w:rsidR="006D1477" w:rsidRPr="002F5974">
        <w:rPr>
          <w:sz w:val="22"/>
          <w:szCs w:val="22"/>
          <w:lang w:eastAsia="en-GB"/>
        </w:rPr>
        <w:t>.  In the absence of any review mechanism that would enable information, no longer relevant, to be withheld, and that would prevent the unjustified interference with Article 8 rights</w:t>
      </w:r>
      <w:r>
        <w:rPr>
          <w:sz w:val="22"/>
          <w:szCs w:val="22"/>
          <w:lang w:eastAsia="en-GB"/>
        </w:rPr>
        <w:t xml:space="preserve"> in an individual case</w:t>
      </w:r>
      <w:r w:rsidR="006D1477" w:rsidRPr="002F5974">
        <w:rPr>
          <w:sz w:val="22"/>
          <w:szCs w:val="22"/>
          <w:lang w:eastAsia="en-GB"/>
        </w:rPr>
        <w:t>, the legislation cannot be proportionate.</w:t>
      </w:r>
    </w:p>
    <w:p w:rsidR="001758EF" w:rsidRDefault="001758EF" w:rsidP="002F5974">
      <w:pPr>
        <w:tabs>
          <w:tab w:val="left" w:pos="540"/>
        </w:tabs>
        <w:spacing w:line="360" w:lineRule="auto"/>
        <w:ind w:left="567" w:hanging="567"/>
        <w:jc w:val="both"/>
        <w:rPr>
          <w:sz w:val="22"/>
          <w:szCs w:val="22"/>
          <w:lang w:eastAsia="en-GB"/>
        </w:rPr>
      </w:pPr>
    </w:p>
    <w:p w:rsidR="0058263E" w:rsidRDefault="001758EF" w:rsidP="00E7047D">
      <w:pPr>
        <w:tabs>
          <w:tab w:val="left" w:pos="540"/>
        </w:tabs>
        <w:spacing w:line="360" w:lineRule="auto"/>
        <w:ind w:left="567" w:hanging="567"/>
        <w:jc w:val="both"/>
        <w:rPr>
          <w:sz w:val="22"/>
          <w:szCs w:val="22"/>
          <w:lang w:eastAsia="en-GB"/>
        </w:rPr>
      </w:pPr>
      <w:r>
        <w:rPr>
          <w:sz w:val="22"/>
          <w:szCs w:val="22"/>
          <w:lang w:eastAsia="en-GB"/>
        </w:rPr>
        <w:t>4.36</w:t>
      </w:r>
      <w:r w:rsidR="00E7047D">
        <w:rPr>
          <w:sz w:val="22"/>
          <w:szCs w:val="22"/>
          <w:lang w:eastAsia="en-GB"/>
        </w:rPr>
        <w:tab/>
      </w:r>
      <w:r w:rsidR="006D1477" w:rsidRPr="002F5974">
        <w:rPr>
          <w:sz w:val="22"/>
          <w:szCs w:val="22"/>
          <w:lang w:eastAsia="en-GB"/>
        </w:rPr>
        <w:t xml:space="preserve">The application of the law as it currently stands in particular cases such as this causes grave concern to the Commission.  A system that allows no exceptions imposes a very heavy cost in terms of effect on the fundamental rights protected by Article 8 ECHR.  The Commission is </w:t>
      </w:r>
      <w:r w:rsidR="0058263E">
        <w:rPr>
          <w:sz w:val="22"/>
          <w:szCs w:val="22"/>
          <w:lang w:eastAsia="en-GB"/>
        </w:rPr>
        <w:t xml:space="preserve">not persuaded that the actual and purported </w:t>
      </w:r>
      <w:r w:rsidR="006D1477" w:rsidRPr="002F5974">
        <w:rPr>
          <w:sz w:val="22"/>
          <w:szCs w:val="22"/>
          <w:lang w:eastAsia="en-GB"/>
        </w:rPr>
        <w:t>benefit</w:t>
      </w:r>
      <w:r w:rsidR="0058263E">
        <w:rPr>
          <w:sz w:val="22"/>
          <w:szCs w:val="22"/>
          <w:lang w:eastAsia="en-GB"/>
        </w:rPr>
        <w:t>s</w:t>
      </w:r>
      <w:r w:rsidR="006D1477" w:rsidRPr="002F5974">
        <w:rPr>
          <w:sz w:val="22"/>
          <w:szCs w:val="22"/>
          <w:lang w:eastAsia="en-GB"/>
        </w:rPr>
        <w:t xml:space="preserve"> that a system which admits no exceptions brings to, admittedly important, competing interests is justified as a matter of proportionality when the </w:t>
      </w:r>
      <w:r w:rsidR="006D1477" w:rsidRPr="002F5974">
        <w:rPr>
          <w:sz w:val="22"/>
          <w:szCs w:val="22"/>
          <w:lang w:eastAsia="en-GB"/>
        </w:rPr>
        <w:lastRenderedPageBreak/>
        <w:t xml:space="preserve">serious detrimental effects of such a system, particularly on child offenders, are weighed in the balance. </w:t>
      </w:r>
    </w:p>
    <w:p w:rsidR="002F5974" w:rsidRDefault="002F5974" w:rsidP="002F5974">
      <w:pPr>
        <w:tabs>
          <w:tab w:val="left" w:pos="540"/>
        </w:tabs>
        <w:spacing w:line="360" w:lineRule="auto"/>
        <w:ind w:left="567" w:hanging="567"/>
        <w:jc w:val="both"/>
        <w:rPr>
          <w:sz w:val="22"/>
          <w:szCs w:val="22"/>
          <w:lang w:eastAsia="en-GB"/>
        </w:rPr>
      </w:pPr>
    </w:p>
    <w:p w:rsidR="001758EF" w:rsidRDefault="002F5974" w:rsidP="000B6896">
      <w:pPr>
        <w:tabs>
          <w:tab w:val="left" w:pos="540"/>
        </w:tabs>
        <w:spacing w:line="360" w:lineRule="auto"/>
        <w:ind w:left="567" w:hanging="567"/>
        <w:jc w:val="both"/>
        <w:rPr>
          <w:sz w:val="22"/>
          <w:szCs w:val="22"/>
        </w:rPr>
      </w:pPr>
      <w:r>
        <w:rPr>
          <w:sz w:val="22"/>
          <w:szCs w:val="22"/>
          <w:lang w:eastAsia="en-GB"/>
        </w:rPr>
        <w:t>4.</w:t>
      </w:r>
      <w:r w:rsidR="001758EF">
        <w:rPr>
          <w:sz w:val="22"/>
          <w:szCs w:val="22"/>
          <w:lang w:eastAsia="en-GB"/>
        </w:rPr>
        <w:t>37</w:t>
      </w:r>
      <w:r>
        <w:rPr>
          <w:sz w:val="22"/>
          <w:szCs w:val="22"/>
          <w:lang w:eastAsia="en-GB"/>
        </w:rPr>
        <w:tab/>
        <w:t>As regards T’s case, it is important to bear in mind that he was a child when the warning was given, aged 11.</w:t>
      </w:r>
      <w:r w:rsidR="001A0F64">
        <w:rPr>
          <w:sz w:val="22"/>
          <w:szCs w:val="22"/>
          <w:lang w:eastAsia="en-GB"/>
        </w:rPr>
        <w:t xml:space="preserve">  The courts have regularly considered</w:t>
      </w:r>
      <w:r w:rsidR="000B6896">
        <w:rPr>
          <w:sz w:val="22"/>
          <w:szCs w:val="22"/>
          <w:lang w:eastAsia="en-GB"/>
        </w:rPr>
        <w:t xml:space="preserve"> the </w:t>
      </w:r>
      <w:r w:rsidR="000B6896" w:rsidRPr="000B6896">
        <w:rPr>
          <w:sz w:val="22"/>
          <w:szCs w:val="22"/>
        </w:rPr>
        <w:t xml:space="preserve">different principles at play </w:t>
      </w:r>
      <w:r w:rsidR="000B6896">
        <w:rPr>
          <w:sz w:val="22"/>
          <w:szCs w:val="22"/>
        </w:rPr>
        <w:t xml:space="preserve">when they are considering those convicted of offences as children </w:t>
      </w:r>
      <w:r w:rsidR="000B6896" w:rsidRPr="000B6896">
        <w:rPr>
          <w:sz w:val="22"/>
          <w:szCs w:val="22"/>
        </w:rPr>
        <w:t>- recognising the more restricted level of responsibility which a child can bear for their actions, in contrast to adults; and recognising that, due to their youth, there is room for substantial room for changes in maturity and development.</w:t>
      </w:r>
      <w:r w:rsidR="000B6896">
        <w:rPr>
          <w:sz w:val="22"/>
          <w:szCs w:val="22"/>
        </w:rPr>
        <w:t xml:space="preserve">  Whilst these cases have no direct application in the present context, when considering the proportionality of the challenged scheme, and its application to T, assistance may be derived from the courts’ recognition of the special position of child offenders.</w:t>
      </w:r>
    </w:p>
    <w:p w:rsidR="001758EF" w:rsidRDefault="001758EF" w:rsidP="000B6896">
      <w:pPr>
        <w:tabs>
          <w:tab w:val="left" w:pos="540"/>
        </w:tabs>
        <w:spacing w:line="360" w:lineRule="auto"/>
        <w:ind w:left="567" w:hanging="567"/>
        <w:jc w:val="both"/>
        <w:rPr>
          <w:sz w:val="22"/>
          <w:szCs w:val="22"/>
        </w:rPr>
      </w:pPr>
    </w:p>
    <w:p w:rsidR="002F5974" w:rsidRDefault="000B6896" w:rsidP="000B6896">
      <w:pPr>
        <w:tabs>
          <w:tab w:val="left" w:pos="540"/>
        </w:tabs>
        <w:spacing w:line="360" w:lineRule="auto"/>
        <w:ind w:left="567" w:hanging="567"/>
        <w:jc w:val="both"/>
        <w:rPr>
          <w:sz w:val="22"/>
          <w:szCs w:val="22"/>
        </w:rPr>
      </w:pPr>
      <w:r>
        <w:rPr>
          <w:sz w:val="22"/>
          <w:szCs w:val="22"/>
        </w:rPr>
        <w:t>4.</w:t>
      </w:r>
      <w:r w:rsidR="001758EF">
        <w:rPr>
          <w:sz w:val="22"/>
          <w:szCs w:val="22"/>
        </w:rPr>
        <w:t>38</w:t>
      </w:r>
      <w:r>
        <w:rPr>
          <w:sz w:val="22"/>
          <w:szCs w:val="22"/>
        </w:rPr>
        <w:tab/>
        <w:t>Section 44(1) of the Children and Young Persons Act 1933</w:t>
      </w:r>
      <w:r w:rsidR="002F5974">
        <w:rPr>
          <w:sz w:val="22"/>
          <w:szCs w:val="22"/>
        </w:rPr>
        <w:t xml:space="preserve"> requires every court dealing with any juvenile offender to have regard to his or her welfare</w:t>
      </w:r>
      <w:r>
        <w:rPr>
          <w:sz w:val="22"/>
          <w:szCs w:val="22"/>
        </w:rPr>
        <w:t xml:space="preserve"> (‘the welfare principle’)</w:t>
      </w:r>
      <w:r w:rsidR="002F5974">
        <w:rPr>
          <w:sz w:val="22"/>
          <w:szCs w:val="22"/>
        </w:rPr>
        <w:t xml:space="preserve">.  Baroness Hale referred to the importance of this provision in </w:t>
      </w:r>
      <w:r w:rsidRPr="001B6072">
        <w:rPr>
          <w:i/>
          <w:sz w:val="22"/>
          <w:szCs w:val="22"/>
        </w:rPr>
        <w:t>R (Smith) v. SSHD</w:t>
      </w:r>
      <w:r>
        <w:rPr>
          <w:sz w:val="22"/>
          <w:szCs w:val="22"/>
        </w:rPr>
        <w:t xml:space="preserve"> [2006] 1 AC 159 (</w:t>
      </w:r>
      <w:proofErr w:type="spellStart"/>
      <w:r w:rsidR="002F5974">
        <w:rPr>
          <w:sz w:val="22"/>
          <w:szCs w:val="22"/>
        </w:rPr>
        <w:t>para</w:t>
      </w:r>
      <w:proofErr w:type="spellEnd"/>
      <w:r w:rsidR="002F5974">
        <w:rPr>
          <w:sz w:val="22"/>
          <w:szCs w:val="22"/>
        </w:rPr>
        <w:t>. 25):</w:t>
      </w:r>
    </w:p>
    <w:p w:rsidR="002F5974" w:rsidRDefault="002F5974" w:rsidP="002F5974">
      <w:pPr>
        <w:pStyle w:val="ListParagraph"/>
        <w:spacing w:line="360" w:lineRule="auto"/>
        <w:ind w:left="567" w:hanging="567"/>
        <w:jc w:val="both"/>
        <w:rPr>
          <w:sz w:val="22"/>
          <w:szCs w:val="22"/>
        </w:rPr>
      </w:pPr>
    </w:p>
    <w:p w:rsidR="002F5974" w:rsidRPr="008E75F1" w:rsidRDefault="002F5974" w:rsidP="002F5974">
      <w:pPr>
        <w:shd w:val="clear" w:color="auto" w:fill="FFFFFF"/>
        <w:ind w:left="1287" w:right="1111"/>
        <w:jc w:val="both"/>
        <w:rPr>
          <w:i/>
          <w:color w:val="000000"/>
          <w:sz w:val="22"/>
          <w:szCs w:val="22"/>
        </w:rPr>
      </w:pPr>
      <w:r w:rsidRPr="008E75F1">
        <w:rPr>
          <w:i/>
          <w:color w:val="000000"/>
          <w:sz w:val="22"/>
          <w:szCs w:val="22"/>
        </w:rPr>
        <w:t>“…. an important aim, some would think the most important aim, of any sentence imposed should be to promote the process of maturation, the development of a sense of responsibility, and the growth of a healthy adult personality and identity. That is no doubt why the Children and Young Persons Act 1933, in section 44(1), required, and still requires, every court dealing with any juvenile offender to have regard to his or her welfare. It is important to the welfare of any young person that his need to develop into fully functioning, law abiding and responsible member of society is properly met. But that is also important for the community as a whole, for the community will pay the price, either of indefinite detention or of further offending, if it is not done.</w:t>
      </w:r>
      <w:r>
        <w:rPr>
          <w:i/>
          <w:color w:val="000000"/>
          <w:sz w:val="22"/>
          <w:szCs w:val="22"/>
        </w:rPr>
        <w:t>”</w:t>
      </w:r>
    </w:p>
    <w:p w:rsidR="002F5974" w:rsidRDefault="002F5974" w:rsidP="002F5974">
      <w:pPr>
        <w:pStyle w:val="ListParagraph"/>
        <w:spacing w:line="360" w:lineRule="auto"/>
        <w:ind w:left="567" w:hanging="567"/>
        <w:jc w:val="both"/>
        <w:rPr>
          <w:sz w:val="22"/>
          <w:szCs w:val="22"/>
        </w:rPr>
      </w:pPr>
    </w:p>
    <w:p w:rsidR="002F5974" w:rsidRDefault="000B6896" w:rsidP="000B6896">
      <w:pPr>
        <w:pStyle w:val="ListParagraph"/>
        <w:spacing w:line="360" w:lineRule="auto"/>
        <w:ind w:left="567" w:hanging="567"/>
        <w:jc w:val="both"/>
        <w:rPr>
          <w:sz w:val="22"/>
          <w:szCs w:val="22"/>
        </w:rPr>
      </w:pPr>
      <w:r>
        <w:rPr>
          <w:sz w:val="22"/>
          <w:szCs w:val="22"/>
        </w:rPr>
        <w:t>4.</w:t>
      </w:r>
      <w:r w:rsidR="001758EF">
        <w:rPr>
          <w:sz w:val="22"/>
          <w:szCs w:val="22"/>
        </w:rPr>
        <w:t>39</w:t>
      </w:r>
      <w:r>
        <w:rPr>
          <w:sz w:val="22"/>
          <w:szCs w:val="22"/>
        </w:rPr>
        <w:tab/>
        <w:t>The courts have accepted that the welfare principle requires a different approach to be adopted in relation to the setting of tariffs for children sentenced to detention at Her Majesty’s Pleasure, and adults (</w:t>
      </w:r>
      <w:r w:rsidRPr="001B6072">
        <w:rPr>
          <w:i/>
          <w:sz w:val="22"/>
          <w:szCs w:val="22"/>
        </w:rPr>
        <w:t xml:space="preserve">R v. SSHD, ex parte </w:t>
      </w:r>
      <w:proofErr w:type="spellStart"/>
      <w:r w:rsidRPr="001B6072">
        <w:rPr>
          <w:i/>
          <w:sz w:val="22"/>
          <w:szCs w:val="22"/>
        </w:rPr>
        <w:t>Venables</w:t>
      </w:r>
      <w:proofErr w:type="spellEnd"/>
      <w:r>
        <w:rPr>
          <w:sz w:val="22"/>
          <w:szCs w:val="22"/>
        </w:rPr>
        <w:t xml:space="preserve"> [1998] AC 407</w:t>
      </w:r>
      <w:r w:rsidR="002F5974">
        <w:rPr>
          <w:sz w:val="22"/>
          <w:szCs w:val="22"/>
        </w:rPr>
        <w:t xml:space="preserve">, finding that the welfare principle required the Secretary of State to keep the children’s detention under continuous review).  In </w:t>
      </w:r>
      <w:r w:rsidR="002F5974" w:rsidRPr="004E4589">
        <w:rPr>
          <w:i/>
          <w:sz w:val="22"/>
          <w:szCs w:val="22"/>
        </w:rPr>
        <w:t>Smith</w:t>
      </w:r>
      <w:r w:rsidR="002F5974">
        <w:rPr>
          <w:sz w:val="22"/>
          <w:szCs w:val="22"/>
        </w:rPr>
        <w:t xml:space="preserve"> Lord Bingham strongly rejected the contention that this duty of continuous review was spent once the child reached 18 (that case concerned a girl aged 17 at the time of the murder, and c. 30 at the time the case came before the Lords) (pp. 167 – 168, </w:t>
      </w:r>
      <w:proofErr w:type="spellStart"/>
      <w:r w:rsidR="002F5974">
        <w:rPr>
          <w:sz w:val="22"/>
          <w:szCs w:val="22"/>
        </w:rPr>
        <w:t>para</w:t>
      </w:r>
      <w:proofErr w:type="spellEnd"/>
      <w:r w:rsidR="002F5974">
        <w:rPr>
          <w:sz w:val="22"/>
          <w:szCs w:val="22"/>
        </w:rPr>
        <w:t>. 12, emphasis added):</w:t>
      </w:r>
    </w:p>
    <w:p w:rsidR="002F5974" w:rsidRPr="004E4589" w:rsidRDefault="002F5974" w:rsidP="002F5974">
      <w:pPr>
        <w:pStyle w:val="ListParagraph"/>
        <w:ind w:left="567" w:hanging="567"/>
        <w:jc w:val="both"/>
        <w:rPr>
          <w:i/>
          <w:sz w:val="22"/>
          <w:szCs w:val="22"/>
        </w:rPr>
      </w:pPr>
    </w:p>
    <w:p w:rsidR="002F5974" w:rsidRDefault="002F5974" w:rsidP="002F5974">
      <w:pPr>
        <w:pStyle w:val="ListParagraph"/>
        <w:ind w:left="1440" w:right="1138"/>
        <w:jc w:val="both"/>
        <w:rPr>
          <w:i/>
          <w:color w:val="000000"/>
          <w:sz w:val="22"/>
          <w:szCs w:val="22"/>
        </w:rPr>
      </w:pPr>
      <w:r>
        <w:rPr>
          <w:i/>
          <w:color w:val="000000"/>
          <w:sz w:val="22"/>
          <w:szCs w:val="22"/>
        </w:rPr>
        <w:t>“</w:t>
      </w:r>
      <w:r w:rsidRPr="004E4589">
        <w:rPr>
          <w:i/>
          <w:color w:val="000000"/>
          <w:sz w:val="22"/>
          <w:szCs w:val="22"/>
        </w:rPr>
        <w:t xml:space="preserve">Mr </w:t>
      </w:r>
      <w:proofErr w:type="spellStart"/>
      <w:r w:rsidRPr="004E4589">
        <w:rPr>
          <w:i/>
          <w:color w:val="000000"/>
          <w:sz w:val="22"/>
          <w:szCs w:val="22"/>
        </w:rPr>
        <w:t>Pannick</w:t>
      </w:r>
      <w:proofErr w:type="spellEnd"/>
      <w:r w:rsidRPr="004E4589">
        <w:rPr>
          <w:i/>
          <w:color w:val="000000"/>
          <w:sz w:val="22"/>
          <w:szCs w:val="22"/>
        </w:rPr>
        <w:t xml:space="preserve"> submits that there is no inherent requirement of continuing review where the detainee is no longer a child or young person. He points out that the respondent was aged 27 when the Lord Chief Justice set her </w:t>
      </w:r>
      <w:r w:rsidRPr="004E4589">
        <w:rPr>
          <w:i/>
          <w:color w:val="000000"/>
          <w:sz w:val="22"/>
          <w:szCs w:val="22"/>
        </w:rPr>
        <w:lastRenderedPageBreak/>
        <w:t xml:space="preserve">minimum term in November 2001, and informs the House that none of the HMP detainees sentenced before 30 November 2000 and still in custody is now under the age of 18. He points out, correctly, that the welfare principle laid down in section 44 of the 1933 Act, as amended by section 72(4) of and Schedule 6 to the Children and Young Persons Act 1969, applies only to children and young persons. Thus in the respondent's case any duty of continuing review is, in effect, spent. This is not a submission which I can accept. </w:t>
      </w:r>
      <w:r w:rsidRPr="004E4589">
        <w:rPr>
          <w:b/>
          <w:i/>
          <w:color w:val="000000"/>
          <w:sz w:val="22"/>
          <w:szCs w:val="22"/>
        </w:rPr>
        <w:t>The requirement to impose a sentence of HMP detention is based not on the age of the offender when sentenced but on the age of the offender when the murder was committed, and it reflects the humane principle that an offender deemed by statute to be not fully mature when committing his crime should not be punished as if he were. As he grows into maturity a more reliable judgment may be made, perhaps of what punishment he deserves and certainly of what period of detention will best promote his rehabilitation.</w:t>
      </w:r>
      <w:r w:rsidRPr="004E4589">
        <w:rPr>
          <w:i/>
          <w:color w:val="000000"/>
          <w:sz w:val="22"/>
          <w:szCs w:val="22"/>
        </w:rPr>
        <w:t xml:space="preserve"> It would in many cases subvert the object of this unique sentence if the duty of continuing review were held to terminate when the child or young person comes legally of age.</w:t>
      </w:r>
      <w:r>
        <w:rPr>
          <w:i/>
          <w:color w:val="000000"/>
          <w:sz w:val="22"/>
          <w:szCs w:val="22"/>
        </w:rPr>
        <w:t>”</w:t>
      </w:r>
    </w:p>
    <w:p w:rsidR="002F5974" w:rsidRPr="000B6896" w:rsidRDefault="002F5974" w:rsidP="000B6896">
      <w:pPr>
        <w:spacing w:line="360" w:lineRule="auto"/>
        <w:jc w:val="both"/>
        <w:rPr>
          <w:sz w:val="22"/>
          <w:szCs w:val="22"/>
        </w:rPr>
      </w:pPr>
    </w:p>
    <w:p w:rsidR="00580684" w:rsidRDefault="000B6896" w:rsidP="00580684">
      <w:pPr>
        <w:tabs>
          <w:tab w:val="left" w:pos="540"/>
        </w:tabs>
        <w:spacing w:line="360" w:lineRule="auto"/>
        <w:ind w:left="540" w:hanging="540"/>
        <w:jc w:val="both"/>
        <w:rPr>
          <w:rStyle w:val="sb8d990e2"/>
          <w:sz w:val="22"/>
          <w:szCs w:val="22"/>
        </w:rPr>
      </w:pPr>
      <w:r>
        <w:rPr>
          <w:sz w:val="22"/>
          <w:szCs w:val="22"/>
        </w:rPr>
        <w:t>4.</w:t>
      </w:r>
      <w:r w:rsidR="001758EF">
        <w:rPr>
          <w:sz w:val="22"/>
          <w:szCs w:val="22"/>
        </w:rPr>
        <w:t>40</w:t>
      </w:r>
      <w:r>
        <w:rPr>
          <w:sz w:val="22"/>
          <w:szCs w:val="22"/>
        </w:rPr>
        <w:tab/>
        <w:t xml:space="preserve">This ‘humane principle’ is, it is submitted, </w:t>
      </w:r>
      <w:r w:rsidR="00EF7504">
        <w:rPr>
          <w:sz w:val="22"/>
          <w:szCs w:val="22"/>
        </w:rPr>
        <w:t xml:space="preserve">underpinned by the requirement in Article 3(1) of the UN Convention on the Rights of the Child (‘UNCRC’) that the </w:t>
      </w:r>
      <w:r w:rsidR="00EF7504" w:rsidRPr="00EF7504">
        <w:rPr>
          <w:sz w:val="22"/>
          <w:szCs w:val="22"/>
        </w:rPr>
        <w:t>best interests of the child sh</w:t>
      </w:r>
      <w:r w:rsidR="00EF7504">
        <w:rPr>
          <w:sz w:val="22"/>
          <w:szCs w:val="22"/>
        </w:rPr>
        <w:t>all be ‘a primary consideration</w:t>
      </w:r>
      <w:r w:rsidR="00EF7504" w:rsidRPr="00EF7504">
        <w:rPr>
          <w:sz w:val="22"/>
          <w:szCs w:val="22"/>
        </w:rPr>
        <w:t>’</w:t>
      </w:r>
      <w:r w:rsidR="00EF7504">
        <w:rPr>
          <w:sz w:val="22"/>
          <w:szCs w:val="22"/>
        </w:rPr>
        <w:t xml:space="preserve"> in all decision-making by the State (including judicial decision-making)</w:t>
      </w:r>
      <w:r w:rsidR="00580684">
        <w:rPr>
          <w:sz w:val="22"/>
          <w:szCs w:val="22"/>
        </w:rPr>
        <w:t>; and Article 40 UNCRC</w:t>
      </w:r>
      <w:r w:rsidR="00EF7504">
        <w:rPr>
          <w:sz w:val="22"/>
          <w:szCs w:val="22"/>
        </w:rPr>
        <w:t>.</w:t>
      </w:r>
      <w:r w:rsidR="00580684">
        <w:rPr>
          <w:sz w:val="22"/>
          <w:szCs w:val="22"/>
        </w:rPr>
        <w:t xml:space="preserve">  Article 40 recognises the importance of rehabilitation for children.  Every </w:t>
      </w:r>
      <w:r w:rsidR="00580684" w:rsidRPr="001758EF">
        <w:rPr>
          <w:rStyle w:val="sb8d990e2"/>
          <w:sz w:val="22"/>
          <w:szCs w:val="22"/>
        </w:rPr>
        <w:t xml:space="preserve">child alleged as, accused of, or recognised as having infringed the penal law </w:t>
      </w:r>
      <w:r w:rsidR="00580684">
        <w:rPr>
          <w:rStyle w:val="sb8d990e2"/>
          <w:sz w:val="22"/>
          <w:szCs w:val="22"/>
        </w:rPr>
        <w:t xml:space="preserve">is </w:t>
      </w:r>
      <w:r w:rsidR="00580684" w:rsidRPr="001758EF">
        <w:rPr>
          <w:rStyle w:val="sb8d990e2"/>
          <w:sz w:val="22"/>
          <w:szCs w:val="22"/>
        </w:rPr>
        <w:t xml:space="preserve">to be treated in a manner consistent </w:t>
      </w:r>
      <w:r w:rsidR="00580684">
        <w:rPr>
          <w:rStyle w:val="sb8d990e2"/>
          <w:sz w:val="22"/>
          <w:szCs w:val="22"/>
        </w:rPr>
        <w:t>with the promotion of the child’</w:t>
      </w:r>
      <w:r w:rsidR="00580684" w:rsidRPr="001758EF">
        <w:rPr>
          <w:rStyle w:val="sb8d990e2"/>
          <w:sz w:val="22"/>
          <w:szCs w:val="22"/>
        </w:rPr>
        <w:t>s sense of dignity and worth, which reinforces the child's respect for the human rights and fundamental freedoms of others and which takes into account the child's age and the desi</w:t>
      </w:r>
      <w:r w:rsidR="009F7EB8">
        <w:rPr>
          <w:rStyle w:val="sb8d990e2"/>
          <w:sz w:val="22"/>
          <w:szCs w:val="22"/>
        </w:rPr>
        <w:t>rability of promoting the child’</w:t>
      </w:r>
      <w:r w:rsidR="00580684" w:rsidRPr="001758EF">
        <w:rPr>
          <w:rStyle w:val="sb8d990e2"/>
          <w:sz w:val="22"/>
          <w:szCs w:val="22"/>
        </w:rPr>
        <w:t>s reintegration and the child's assuming a constructive role in society.</w:t>
      </w:r>
      <w:r w:rsidR="009F7EB8">
        <w:rPr>
          <w:rStyle w:val="sb8d990e2"/>
          <w:sz w:val="22"/>
          <w:szCs w:val="22"/>
        </w:rPr>
        <w:t xml:space="preserve">  In relation to long spent non-conviction dispos</w:t>
      </w:r>
      <w:r w:rsidR="00E7047D">
        <w:rPr>
          <w:rStyle w:val="sb8d990e2"/>
          <w:sz w:val="22"/>
          <w:szCs w:val="22"/>
        </w:rPr>
        <w:t>als, as in the present case, an analogous</w:t>
      </w:r>
      <w:r w:rsidR="009F7EB8">
        <w:rPr>
          <w:rStyle w:val="sb8d990e2"/>
          <w:sz w:val="22"/>
          <w:szCs w:val="22"/>
        </w:rPr>
        <w:t xml:space="preserve"> humane principle supports the notion that the individual can at some point have a clean slate, without a trivial matter from his childhood remaining permanently subject to automatic disclosure.</w:t>
      </w:r>
    </w:p>
    <w:p w:rsidR="00E7047D" w:rsidRDefault="00E7047D" w:rsidP="00580684">
      <w:pPr>
        <w:tabs>
          <w:tab w:val="left" w:pos="540"/>
        </w:tabs>
        <w:spacing w:line="360" w:lineRule="auto"/>
        <w:ind w:left="540" w:hanging="540"/>
        <w:jc w:val="both"/>
        <w:rPr>
          <w:rStyle w:val="sb8d990e2"/>
          <w:sz w:val="22"/>
          <w:szCs w:val="22"/>
        </w:rPr>
      </w:pPr>
    </w:p>
    <w:p w:rsidR="0058263E" w:rsidRDefault="00580684">
      <w:pPr>
        <w:tabs>
          <w:tab w:val="left" w:pos="540"/>
        </w:tabs>
        <w:spacing w:line="360" w:lineRule="auto"/>
        <w:ind w:left="540" w:hanging="540"/>
        <w:jc w:val="both"/>
        <w:rPr>
          <w:sz w:val="22"/>
          <w:szCs w:val="22"/>
        </w:rPr>
      </w:pPr>
      <w:r>
        <w:rPr>
          <w:rStyle w:val="sb8d990e2"/>
          <w:sz w:val="22"/>
          <w:szCs w:val="22"/>
        </w:rPr>
        <w:t>4.41</w:t>
      </w:r>
      <w:r w:rsidR="009F7EB8">
        <w:rPr>
          <w:rStyle w:val="sb8d990e2"/>
          <w:sz w:val="22"/>
          <w:szCs w:val="22"/>
        </w:rPr>
        <w:tab/>
        <w:t xml:space="preserve">The UNCRC </w:t>
      </w:r>
      <w:r w:rsidR="008D41A1" w:rsidRPr="008D41A1">
        <w:rPr>
          <w:sz w:val="22"/>
          <w:szCs w:val="22"/>
        </w:rPr>
        <w:t xml:space="preserve">is taken into account by the European Court of Human Rights when assessing the parameters of the ECHR, particularly Article 8.  The President of the Court has described this as a now well-established principle: </w:t>
      </w:r>
    </w:p>
    <w:p w:rsidR="00580684" w:rsidRPr="00E7047D" w:rsidRDefault="00580684" w:rsidP="00580684">
      <w:pPr>
        <w:pStyle w:val="ListParagraph"/>
        <w:ind w:left="0" w:right="1134"/>
        <w:rPr>
          <w:i/>
          <w:sz w:val="22"/>
          <w:szCs w:val="22"/>
        </w:rPr>
      </w:pPr>
    </w:p>
    <w:p w:rsidR="00580684" w:rsidRPr="00E7047D" w:rsidRDefault="00580684" w:rsidP="00580684">
      <w:pPr>
        <w:ind w:left="1287" w:right="1134"/>
        <w:jc w:val="both"/>
        <w:rPr>
          <w:i/>
          <w:sz w:val="22"/>
          <w:szCs w:val="22"/>
        </w:rPr>
      </w:pPr>
      <w:r w:rsidRPr="00E7047D">
        <w:rPr>
          <w:i/>
          <w:sz w:val="22"/>
          <w:szCs w:val="22"/>
        </w:rPr>
        <w:t xml:space="preserve">“In the Strasbourg case-law, the principle of giving priority to safeguarding the best interests of the child is firmly established. The European Court has invoked it in different contexts over the years, beginning with the re-uniting of children taken into social care with their parents (e.g. </w:t>
      </w:r>
      <w:proofErr w:type="spellStart"/>
      <w:r w:rsidRPr="00E7047D">
        <w:rPr>
          <w:i/>
          <w:sz w:val="22"/>
          <w:szCs w:val="22"/>
          <w:u w:val="single"/>
        </w:rPr>
        <w:t>Hokkanen</w:t>
      </w:r>
      <w:proofErr w:type="spellEnd"/>
      <w:r w:rsidRPr="00E7047D">
        <w:rPr>
          <w:i/>
          <w:sz w:val="22"/>
          <w:szCs w:val="22"/>
          <w:u w:val="single"/>
        </w:rPr>
        <w:t xml:space="preserve"> v. Finland</w:t>
      </w:r>
      <w:r w:rsidRPr="00E7047D">
        <w:rPr>
          <w:i/>
          <w:sz w:val="22"/>
          <w:szCs w:val="22"/>
        </w:rPr>
        <w:t xml:space="preserve">, </w:t>
      </w:r>
      <w:r w:rsidRPr="00E7047D">
        <w:rPr>
          <w:i/>
          <w:sz w:val="22"/>
          <w:szCs w:val="22"/>
        </w:rPr>
        <w:lastRenderedPageBreak/>
        <w:t xml:space="preserve">23 September 1994, Series A no. 299-A, and </w:t>
      </w:r>
      <w:proofErr w:type="spellStart"/>
      <w:r w:rsidRPr="00E7047D">
        <w:rPr>
          <w:i/>
          <w:sz w:val="22"/>
          <w:szCs w:val="22"/>
          <w:u w:val="single"/>
        </w:rPr>
        <w:t>Nuutinen</w:t>
      </w:r>
      <w:proofErr w:type="spellEnd"/>
      <w:r w:rsidRPr="00E7047D">
        <w:rPr>
          <w:i/>
          <w:sz w:val="22"/>
          <w:szCs w:val="22"/>
          <w:u w:val="single"/>
        </w:rPr>
        <w:t xml:space="preserve"> v. Finland</w:t>
      </w:r>
      <w:r w:rsidRPr="00E7047D">
        <w:rPr>
          <w:i/>
          <w:sz w:val="22"/>
          <w:szCs w:val="22"/>
        </w:rPr>
        <w:t>, no. 32842/96, ECHR 2000-VIII).”</w:t>
      </w:r>
      <w:r w:rsidRPr="00E7047D">
        <w:rPr>
          <w:rStyle w:val="FootnoteReference"/>
          <w:i/>
          <w:sz w:val="22"/>
          <w:szCs w:val="22"/>
        </w:rPr>
        <w:footnoteReference w:id="5"/>
      </w:r>
    </w:p>
    <w:p w:rsidR="00580684" w:rsidRPr="00E7047D" w:rsidRDefault="00580684" w:rsidP="00580684">
      <w:pPr>
        <w:pStyle w:val="ListParagraph"/>
        <w:tabs>
          <w:tab w:val="left" w:pos="540"/>
        </w:tabs>
        <w:ind w:left="0" w:right="1134"/>
        <w:jc w:val="both"/>
        <w:rPr>
          <w:i/>
          <w:sz w:val="22"/>
          <w:szCs w:val="22"/>
        </w:rPr>
      </w:pPr>
    </w:p>
    <w:p w:rsidR="00580684" w:rsidRPr="0046663A" w:rsidRDefault="00580684" w:rsidP="00580684">
      <w:pPr>
        <w:pStyle w:val="ListParagraph"/>
        <w:rPr>
          <w:sz w:val="22"/>
          <w:szCs w:val="22"/>
        </w:rPr>
      </w:pPr>
    </w:p>
    <w:p w:rsidR="0058263E" w:rsidRDefault="009F7EB8" w:rsidP="00E7047D">
      <w:pPr>
        <w:tabs>
          <w:tab w:val="left" w:pos="540"/>
        </w:tabs>
        <w:spacing w:line="360" w:lineRule="auto"/>
        <w:ind w:left="540" w:hanging="540"/>
        <w:jc w:val="both"/>
        <w:rPr>
          <w:sz w:val="22"/>
          <w:szCs w:val="22"/>
        </w:rPr>
      </w:pPr>
      <w:r w:rsidRPr="00E7047D">
        <w:rPr>
          <w:sz w:val="22"/>
          <w:szCs w:val="22"/>
        </w:rPr>
        <w:t>4.42</w:t>
      </w:r>
      <w:r w:rsidRPr="00E7047D">
        <w:rPr>
          <w:sz w:val="22"/>
          <w:szCs w:val="22"/>
        </w:rPr>
        <w:tab/>
      </w:r>
      <w:r w:rsidR="008D41A1" w:rsidRPr="00E7047D">
        <w:rPr>
          <w:sz w:val="22"/>
          <w:szCs w:val="22"/>
        </w:rPr>
        <w:t xml:space="preserve">The Grand Chamber in </w:t>
      </w:r>
      <w:proofErr w:type="spellStart"/>
      <w:r w:rsidR="008D41A1" w:rsidRPr="00E7047D">
        <w:rPr>
          <w:i/>
          <w:sz w:val="22"/>
          <w:szCs w:val="22"/>
        </w:rPr>
        <w:t>Neulinger</w:t>
      </w:r>
      <w:proofErr w:type="spellEnd"/>
      <w:r w:rsidR="008D41A1" w:rsidRPr="00E7047D">
        <w:rPr>
          <w:i/>
          <w:sz w:val="22"/>
          <w:szCs w:val="22"/>
        </w:rPr>
        <w:t xml:space="preserve"> v. Switzerland</w:t>
      </w:r>
      <w:r w:rsidR="008D41A1" w:rsidRPr="00E7047D">
        <w:rPr>
          <w:sz w:val="22"/>
          <w:szCs w:val="22"/>
        </w:rPr>
        <w:t xml:space="preserve"> </w:t>
      </w:r>
      <w:r w:rsidR="00E7047D" w:rsidRPr="00E7047D">
        <w:rPr>
          <w:sz w:val="22"/>
          <w:szCs w:val="22"/>
          <w:lang w:val="en-US"/>
        </w:rPr>
        <w:t xml:space="preserve">(2010) 28 BHRC 706, </w:t>
      </w:r>
      <w:r w:rsidR="008D41A1" w:rsidRPr="00E7047D">
        <w:rPr>
          <w:sz w:val="22"/>
          <w:szCs w:val="22"/>
        </w:rPr>
        <w:t>in drawing upon the UNCRC in interpreting Article 8 ECHR, emphasised the requirement for the ECHR to be interpreted in harmony with the general principles of international law</w:t>
      </w:r>
      <w:r w:rsidR="00E7047D" w:rsidRPr="00E7047D">
        <w:rPr>
          <w:sz w:val="22"/>
          <w:szCs w:val="22"/>
        </w:rPr>
        <w:t xml:space="preserve"> (at </w:t>
      </w:r>
      <w:proofErr w:type="spellStart"/>
      <w:r w:rsidR="00E7047D" w:rsidRPr="00E7047D">
        <w:rPr>
          <w:sz w:val="22"/>
          <w:szCs w:val="22"/>
        </w:rPr>
        <w:t>para</w:t>
      </w:r>
      <w:proofErr w:type="spellEnd"/>
      <w:r w:rsidR="00E7047D" w:rsidRPr="00E7047D">
        <w:rPr>
          <w:sz w:val="22"/>
          <w:szCs w:val="22"/>
        </w:rPr>
        <w:t>. 131)</w:t>
      </w:r>
      <w:r w:rsidR="008D41A1" w:rsidRPr="00E7047D">
        <w:rPr>
          <w:sz w:val="22"/>
          <w:szCs w:val="22"/>
        </w:rPr>
        <w:t xml:space="preserve">. </w:t>
      </w:r>
    </w:p>
    <w:p w:rsidR="00E7047D" w:rsidRDefault="00E7047D" w:rsidP="00E7047D">
      <w:pPr>
        <w:tabs>
          <w:tab w:val="left" w:pos="540"/>
        </w:tabs>
        <w:spacing w:line="360" w:lineRule="auto"/>
        <w:ind w:left="540" w:hanging="540"/>
        <w:jc w:val="both"/>
        <w:rPr>
          <w:sz w:val="22"/>
          <w:szCs w:val="22"/>
        </w:rPr>
      </w:pPr>
    </w:p>
    <w:p w:rsidR="0058263E" w:rsidRDefault="00E7047D" w:rsidP="00E7047D">
      <w:pPr>
        <w:tabs>
          <w:tab w:val="left" w:pos="540"/>
        </w:tabs>
        <w:spacing w:line="360" w:lineRule="auto"/>
        <w:ind w:left="540" w:hanging="540"/>
        <w:jc w:val="both"/>
        <w:rPr>
          <w:sz w:val="22"/>
          <w:szCs w:val="22"/>
        </w:rPr>
      </w:pPr>
      <w:r>
        <w:rPr>
          <w:sz w:val="22"/>
          <w:szCs w:val="22"/>
        </w:rPr>
        <w:t>4.43</w:t>
      </w:r>
      <w:r>
        <w:rPr>
          <w:sz w:val="22"/>
          <w:szCs w:val="22"/>
        </w:rPr>
        <w:tab/>
      </w:r>
      <w:r w:rsidR="008D41A1" w:rsidRPr="008D41A1">
        <w:rPr>
          <w:sz w:val="22"/>
          <w:szCs w:val="22"/>
        </w:rPr>
        <w:t xml:space="preserve">The UNCRC thus, by virtue of s. 2(1) of the HRA, has a place in the interpretation of Convention rights by the courts in this jurisdiction: </w:t>
      </w:r>
      <w:r w:rsidR="008D41A1" w:rsidRPr="008D41A1">
        <w:rPr>
          <w:i/>
          <w:iCs/>
          <w:sz w:val="22"/>
          <w:szCs w:val="22"/>
        </w:rPr>
        <w:t xml:space="preserve">R (P &amp; Q) v. </w:t>
      </w:r>
      <w:r w:rsidR="00D02F03">
        <w:rPr>
          <w:i/>
          <w:iCs/>
          <w:sz w:val="22"/>
          <w:szCs w:val="22"/>
        </w:rPr>
        <w:t>SSHD</w:t>
      </w:r>
      <w:r>
        <w:rPr>
          <w:iCs/>
          <w:sz w:val="22"/>
          <w:szCs w:val="22"/>
        </w:rPr>
        <w:t xml:space="preserve"> </w:t>
      </w:r>
      <w:r w:rsidRPr="00E7047D">
        <w:rPr>
          <w:sz w:val="22"/>
          <w:szCs w:val="22"/>
        </w:rPr>
        <w:t xml:space="preserve">[2001] EWHC Admin 357, [2001] 2 FLR 383, </w:t>
      </w:r>
      <w:proofErr w:type="spellStart"/>
      <w:r w:rsidRPr="00E7047D">
        <w:rPr>
          <w:sz w:val="22"/>
          <w:szCs w:val="22"/>
        </w:rPr>
        <w:t>para</w:t>
      </w:r>
      <w:proofErr w:type="spellEnd"/>
      <w:r w:rsidRPr="00E7047D">
        <w:rPr>
          <w:sz w:val="22"/>
          <w:szCs w:val="22"/>
        </w:rPr>
        <w:t xml:space="preserve">. 33 (per Lord Woolf CJ); and [2001] EWCA </w:t>
      </w:r>
      <w:proofErr w:type="spellStart"/>
      <w:r w:rsidRPr="00E7047D">
        <w:rPr>
          <w:sz w:val="22"/>
          <w:szCs w:val="22"/>
        </w:rPr>
        <w:t>Civ</w:t>
      </w:r>
      <w:proofErr w:type="spellEnd"/>
      <w:r w:rsidRPr="00E7047D">
        <w:rPr>
          <w:sz w:val="22"/>
          <w:szCs w:val="22"/>
        </w:rPr>
        <w:t xml:space="preserve"> 1151, [2001] 2 FLR 1122, </w:t>
      </w:r>
      <w:proofErr w:type="spellStart"/>
      <w:r w:rsidRPr="00E7047D">
        <w:rPr>
          <w:sz w:val="22"/>
          <w:szCs w:val="22"/>
        </w:rPr>
        <w:t>paras</w:t>
      </w:r>
      <w:proofErr w:type="spellEnd"/>
      <w:r w:rsidRPr="00E7047D">
        <w:rPr>
          <w:sz w:val="22"/>
          <w:szCs w:val="22"/>
        </w:rPr>
        <w:t>. 85 – 87 (per Lord Phillips PSC)</w:t>
      </w:r>
      <w:r w:rsidR="008D41A1" w:rsidRPr="008D41A1">
        <w:rPr>
          <w:sz w:val="22"/>
          <w:szCs w:val="22"/>
        </w:rPr>
        <w:t xml:space="preserve">; </w:t>
      </w:r>
      <w:r w:rsidR="008D41A1" w:rsidRPr="008D41A1">
        <w:rPr>
          <w:i/>
          <w:sz w:val="22"/>
          <w:szCs w:val="22"/>
        </w:rPr>
        <w:t xml:space="preserve">R v. </w:t>
      </w:r>
      <w:r w:rsidR="00D02F03">
        <w:rPr>
          <w:i/>
          <w:sz w:val="22"/>
          <w:szCs w:val="22"/>
        </w:rPr>
        <w:t>SSHD</w:t>
      </w:r>
      <w:r w:rsidR="008D41A1" w:rsidRPr="008D41A1">
        <w:rPr>
          <w:i/>
          <w:sz w:val="22"/>
          <w:szCs w:val="22"/>
        </w:rPr>
        <w:t xml:space="preserve">, ex parte </w:t>
      </w:r>
      <w:proofErr w:type="spellStart"/>
      <w:r w:rsidR="008D41A1" w:rsidRPr="008D41A1">
        <w:rPr>
          <w:i/>
          <w:sz w:val="22"/>
          <w:szCs w:val="22"/>
        </w:rPr>
        <w:t>Venables</w:t>
      </w:r>
      <w:proofErr w:type="spellEnd"/>
      <w:r>
        <w:rPr>
          <w:i/>
          <w:sz w:val="22"/>
          <w:szCs w:val="22"/>
        </w:rPr>
        <w:t xml:space="preserve"> </w:t>
      </w:r>
      <w:r w:rsidRPr="00E7047D">
        <w:rPr>
          <w:sz w:val="22"/>
          <w:szCs w:val="22"/>
        </w:rPr>
        <w:t>[1998] AC 40</w:t>
      </w:r>
      <w:r>
        <w:rPr>
          <w:sz w:val="22"/>
          <w:szCs w:val="22"/>
        </w:rPr>
        <w:t>7 at 530C (per Lord Hope)</w:t>
      </w:r>
      <w:r w:rsidR="008D41A1" w:rsidRPr="008D41A1">
        <w:rPr>
          <w:i/>
          <w:sz w:val="22"/>
          <w:szCs w:val="22"/>
        </w:rPr>
        <w:t xml:space="preserve">; </w:t>
      </w:r>
      <w:r w:rsidR="008D41A1" w:rsidRPr="008D41A1">
        <w:rPr>
          <w:i/>
          <w:iCs/>
          <w:sz w:val="22"/>
          <w:szCs w:val="22"/>
        </w:rPr>
        <w:t>R (SR) v. Nottingham Magistrates’ Court</w:t>
      </w:r>
      <w:r>
        <w:rPr>
          <w:iCs/>
          <w:sz w:val="22"/>
          <w:szCs w:val="22"/>
        </w:rPr>
        <w:t xml:space="preserve"> </w:t>
      </w:r>
      <w:r w:rsidRPr="00E7047D">
        <w:rPr>
          <w:sz w:val="22"/>
          <w:szCs w:val="22"/>
        </w:rPr>
        <w:t xml:space="preserve">[2001] EWHC Admin 802, </w:t>
      </w:r>
      <w:proofErr w:type="spellStart"/>
      <w:r w:rsidRPr="00E7047D">
        <w:rPr>
          <w:sz w:val="22"/>
          <w:szCs w:val="22"/>
        </w:rPr>
        <w:t>paras</w:t>
      </w:r>
      <w:proofErr w:type="spellEnd"/>
      <w:r w:rsidRPr="00E7047D">
        <w:rPr>
          <w:sz w:val="22"/>
          <w:szCs w:val="22"/>
        </w:rPr>
        <w:t>. 65-67</w:t>
      </w:r>
      <w:r w:rsidR="008D41A1" w:rsidRPr="008D41A1">
        <w:rPr>
          <w:sz w:val="22"/>
          <w:szCs w:val="22"/>
        </w:rPr>
        <w:t xml:space="preserve">; </w:t>
      </w:r>
      <w:r w:rsidR="008D41A1" w:rsidRPr="008D41A1">
        <w:rPr>
          <w:i/>
          <w:sz w:val="22"/>
          <w:szCs w:val="22"/>
        </w:rPr>
        <w:t xml:space="preserve">LD (Zimbabwe) v. </w:t>
      </w:r>
      <w:r w:rsidR="00D02F03">
        <w:rPr>
          <w:i/>
          <w:sz w:val="22"/>
          <w:szCs w:val="22"/>
        </w:rPr>
        <w:t>SSHD</w:t>
      </w:r>
      <w:r>
        <w:rPr>
          <w:i/>
          <w:sz w:val="22"/>
          <w:szCs w:val="22"/>
        </w:rPr>
        <w:t xml:space="preserve"> </w:t>
      </w:r>
      <w:r w:rsidRPr="00E7047D">
        <w:rPr>
          <w:sz w:val="22"/>
          <w:szCs w:val="22"/>
        </w:rPr>
        <w:t xml:space="preserve">[2010] UKUT 278, </w:t>
      </w:r>
      <w:proofErr w:type="spellStart"/>
      <w:r w:rsidRPr="00E7047D">
        <w:rPr>
          <w:sz w:val="22"/>
          <w:szCs w:val="22"/>
        </w:rPr>
        <w:t>para</w:t>
      </w:r>
      <w:proofErr w:type="spellEnd"/>
      <w:r w:rsidRPr="00E7047D">
        <w:rPr>
          <w:sz w:val="22"/>
          <w:szCs w:val="22"/>
        </w:rPr>
        <w:t>. 28</w:t>
      </w:r>
      <w:r w:rsidR="008D41A1" w:rsidRPr="008D41A1">
        <w:rPr>
          <w:sz w:val="22"/>
          <w:szCs w:val="22"/>
        </w:rPr>
        <w:t xml:space="preserve">; </w:t>
      </w:r>
      <w:r w:rsidR="008D41A1" w:rsidRPr="008D41A1">
        <w:rPr>
          <w:i/>
          <w:sz w:val="22"/>
          <w:szCs w:val="22"/>
        </w:rPr>
        <w:t xml:space="preserve">R (MXL) v. </w:t>
      </w:r>
      <w:r w:rsidR="00D02F03">
        <w:rPr>
          <w:i/>
          <w:sz w:val="22"/>
          <w:szCs w:val="22"/>
        </w:rPr>
        <w:t>SSHD</w:t>
      </w:r>
      <w:r>
        <w:rPr>
          <w:sz w:val="22"/>
          <w:szCs w:val="22"/>
        </w:rPr>
        <w:t xml:space="preserve"> </w:t>
      </w:r>
      <w:r w:rsidRPr="00E7047D">
        <w:rPr>
          <w:sz w:val="22"/>
          <w:szCs w:val="22"/>
        </w:rPr>
        <w:t xml:space="preserve">[2010] EWHC 2397, </w:t>
      </w:r>
      <w:proofErr w:type="spellStart"/>
      <w:r w:rsidRPr="00E7047D">
        <w:rPr>
          <w:sz w:val="22"/>
          <w:szCs w:val="22"/>
        </w:rPr>
        <w:t>para</w:t>
      </w:r>
      <w:proofErr w:type="spellEnd"/>
      <w:r w:rsidRPr="00E7047D">
        <w:rPr>
          <w:sz w:val="22"/>
          <w:szCs w:val="22"/>
        </w:rPr>
        <w:t>. 83</w:t>
      </w:r>
      <w:r w:rsidR="008D41A1" w:rsidRPr="008D41A1">
        <w:rPr>
          <w:sz w:val="22"/>
          <w:szCs w:val="22"/>
        </w:rPr>
        <w:t xml:space="preserve">; </w:t>
      </w:r>
      <w:r w:rsidRPr="00894E51">
        <w:rPr>
          <w:i/>
          <w:sz w:val="22"/>
          <w:szCs w:val="22"/>
        </w:rPr>
        <w:t>ZH (Tanzania) v. SSHD</w:t>
      </w:r>
      <w:r w:rsidRPr="00894E51">
        <w:rPr>
          <w:sz w:val="22"/>
          <w:szCs w:val="22"/>
        </w:rPr>
        <w:t xml:space="preserve"> [2011] 2 AC 166</w:t>
      </w:r>
      <w:r w:rsidRPr="00E7047D">
        <w:rPr>
          <w:sz w:val="22"/>
          <w:szCs w:val="22"/>
          <w:lang w:val="en-US"/>
        </w:rPr>
        <w:t xml:space="preserve">, </w:t>
      </w:r>
      <w:proofErr w:type="spellStart"/>
      <w:r w:rsidRPr="00E7047D">
        <w:rPr>
          <w:sz w:val="22"/>
          <w:szCs w:val="22"/>
          <w:lang w:val="en-US"/>
        </w:rPr>
        <w:t>paras</w:t>
      </w:r>
      <w:proofErr w:type="spellEnd"/>
      <w:r w:rsidRPr="00E7047D">
        <w:rPr>
          <w:sz w:val="22"/>
          <w:szCs w:val="22"/>
          <w:lang w:val="en-US"/>
        </w:rPr>
        <w:t>. 21–25</w:t>
      </w:r>
      <w:r>
        <w:rPr>
          <w:sz w:val="22"/>
          <w:szCs w:val="22"/>
          <w:lang w:val="en-US"/>
        </w:rPr>
        <w:t>.</w:t>
      </w:r>
      <w:r w:rsidR="008D41A1" w:rsidRPr="008D41A1">
        <w:rPr>
          <w:sz w:val="22"/>
          <w:szCs w:val="22"/>
        </w:rPr>
        <w:t xml:space="preserve"> </w:t>
      </w:r>
      <w:r>
        <w:rPr>
          <w:sz w:val="22"/>
          <w:szCs w:val="22"/>
        </w:rPr>
        <w:t xml:space="preserve"> </w:t>
      </w:r>
      <w:r w:rsidR="008D41A1" w:rsidRPr="008D41A1">
        <w:rPr>
          <w:sz w:val="22"/>
          <w:szCs w:val="22"/>
        </w:rPr>
        <w:t xml:space="preserve">Failure to adhere to the UNCRC’s principles will violate the ECHR.  </w:t>
      </w:r>
    </w:p>
    <w:p w:rsidR="00580684" w:rsidRPr="00FA4095" w:rsidRDefault="00580684" w:rsidP="00580684">
      <w:pPr>
        <w:pStyle w:val="ListParagraph"/>
        <w:rPr>
          <w:sz w:val="22"/>
          <w:szCs w:val="22"/>
        </w:rPr>
      </w:pPr>
    </w:p>
    <w:p w:rsidR="0058263E" w:rsidRDefault="009F7EB8" w:rsidP="00E7047D">
      <w:pPr>
        <w:tabs>
          <w:tab w:val="left" w:pos="540"/>
        </w:tabs>
        <w:spacing w:line="360" w:lineRule="auto"/>
        <w:ind w:left="540" w:hanging="540"/>
        <w:jc w:val="both"/>
        <w:rPr>
          <w:sz w:val="22"/>
          <w:szCs w:val="22"/>
        </w:rPr>
      </w:pPr>
      <w:r>
        <w:rPr>
          <w:sz w:val="22"/>
          <w:szCs w:val="22"/>
        </w:rPr>
        <w:t>4.44</w:t>
      </w:r>
      <w:r>
        <w:rPr>
          <w:sz w:val="22"/>
          <w:szCs w:val="22"/>
        </w:rPr>
        <w:tab/>
      </w:r>
      <w:r w:rsidR="008D41A1" w:rsidRPr="008D41A1">
        <w:rPr>
          <w:sz w:val="22"/>
          <w:szCs w:val="22"/>
        </w:rPr>
        <w:t xml:space="preserve">In </w:t>
      </w:r>
      <w:r w:rsidR="008D41A1" w:rsidRPr="008D41A1">
        <w:rPr>
          <w:i/>
          <w:sz w:val="22"/>
          <w:szCs w:val="22"/>
        </w:rPr>
        <w:t xml:space="preserve">R (Howard League for Penal Reform) v. </w:t>
      </w:r>
      <w:r w:rsidR="00D02F03">
        <w:rPr>
          <w:i/>
          <w:sz w:val="22"/>
          <w:szCs w:val="22"/>
        </w:rPr>
        <w:t xml:space="preserve">SSHD </w:t>
      </w:r>
      <w:r w:rsidR="00E7047D">
        <w:rPr>
          <w:sz w:val="22"/>
          <w:szCs w:val="22"/>
        </w:rPr>
        <w:t xml:space="preserve">[2002] EWHC 2497, [2003] 1 FLR 484 </w:t>
      </w:r>
      <w:r w:rsidR="008D41A1" w:rsidRPr="008D41A1">
        <w:rPr>
          <w:sz w:val="22"/>
          <w:szCs w:val="22"/>
        </w:rPr>
        <w:t>(a case concerning the applicability of the Children Act 1989 to chil</w:t>
      </w:r>
      <w:r w:rsidR="00D02F03">
        <w:rPr>
          <w:sz w:val="22"/>
          <w:szCs w:val="22"/>
        </w:rPr>
        <w:t xml:space="preserve">dren in custody) </w:t>
      </w:r>
      <w:proofErr w:type="spellStart"/>
      <w:r w:rsidR="00D02F03">
        <w:rPr>
          <w:sz w:val="22"/>
          <w:szCs w:val="22"/>
        </w:rPr>
        <w:t>Munby</w:t>
      </w:r>
      <w:proofErr w:type="spellEnd"/>
      <w:r w:rsidR="00D02F03">
        <w:rPr>
          <w:sz w:val="22"/>
          <w:szCs w:val="22"/>
        </w:rPr>
        <w:t xml:space="preserve"> J stated </w:t>
      </w:r>
      <w:r w:rsidR="008D41A1" w:rsidRPr="008D41A1">
        <w:rPr>
          <w:sz w:val="22"/>
          <w:szCs w:val="22"/>
        </w:rPr>
        <w:t>that the UNCRC (and another then non-binding international law instrument, the Charter of Fundamental Rights of the European Union</w:t>
      </w:r>
      <w:r w:rsidR="00580684">
        <w:rPr>
          <w:rStyle w:val="FootnoteReference"/>
          <w:sz w:val="22"/>
          <w:szCs w:val="22"/>
        </w:rPr>
        <w:footnoteReference w:id="6"/>
      </w:r>
      <w:r w:rsidR="008D41A1" w:rsidRPr="008D41A1">
        <w:rPr>
          <w:sz w:val="22"/>
          <w:szCs w:val="22"/>
        </w:rPr>
        <w:t>) can</w:t>
      </w:r>
      <w:r w:rsidR="00D02F03">
        <w:rPr>
          <w:sz w:val="22"/>
          <w:szCs w:val="22"/>
        </w:rPr>
        <w:t xml:space="preserve"> (</w:t>
      </w:r>
      <w:proofErr w:type="spellStart"/>
      <w:r w:rsidR="00D02F03">
        <w:rPr>
          <w:sz w:val="22"/>
          <w:szCs w:val="22"/>
        </w:rPr>
        <w:t>para</w:t>
      </w:r>
      <w:proofErr w:type="spellEnd"/>
      <w:r w:rsidR="00D02F03">
        <w:rPr>
          <w:sz w:val="22"/>
          <w:szCs w:val="22"/>
        </w:rPr>
        <w:t>. 51)</w:t>
      </w:r>
      <w:r w:rsidR="008D41A1" w:rsidRPr="008D41A1">
        <w:rPr>
          <w:sz w:val="22"/>
          <w:szCs w:val="22"/>
        </w:rPr>
        <w:t xml:space="preserve">, </w:t>
      </w:r>
    </w:p>
    <w:p w:rsidR="00580684" w:rsidRDefault="00580684" w:rsidP="00580684">
      <w:pPr>
        <w:pStyle w:val="ListParagraph"/>
        <w:rPr>
          <w:sz w:val="22"/>
          <w:szCs w:val="22"/>
        </w:rPr>
      </w:pPr>
    </w:p>
    <w:p w:rsidR="00580684" w:rsidRPr="009777D1" w:rsidRDefault="00580684" w:rsidP="00580684">
      <w:pPr>
        <w:pStyle w:val="ListParagraph"/>
        <w:rPr>
          <w:sz w:val="22"/>
          <w:szCs w:val="22"/>
        </w:rPr>
      </w:pPr>
    </w:p>
    <w:p w:rsidR="00580684" w:rsidRPr="00E7047D" w:rsidRDefault="00580684" w:rsidP="00580684">
      <w:pPr>
        <w:pStyle w:val="ListParagraph"/>
        <w:spacing w:after="200"/>
        <w:ind w:left="1440" w:right="1134"/>
        <w:jc w:val="both"/>
        <w:rPr>
          <w:i/>
          <w:sz w:val="22"/>
          <w:szCs w:val="22"/>
        </w:rPr>
      </w:pPr>
      <w:r w:rsidRPr="00E7047D">
        <w:rPr>
          <w:i/>
          <w:sz w:val="22"/>
          <w:szCs w:val="22"/>
        </w:rPr>
        <w:t xml:space="preserve">“properly be consulted insofar as they proclaim, reaffirm or elucidate the content of those human rights that are generally recognised throughout the European family of nations, in particular the nature and scope of those fundamental rights that are guaranteed by the European Convention.”  </w:t>
      </w:r>
    </w:p>
    <w:p w:rsidR="00580684" w:rsidRDefault="00580684" w:rsidP="00580684">
      <w:pPr>
        <w:pStyle w:val="ListParagraph"/>
        <w:spacing w:after="200"/>
        <w:ind w:left="1440" w:right="1134"/>
        <w:jc w:val="both"/>
        <w:rPr>
          <w:sz w:val="22"/>
          <w:szCs w:val="22"/>
        </w:rPr>
      </w:pPr>
    </w:p>
    <w:p w:rsidR="00580684" w:rsidRPr="009777D1" w:rsidRDefault="00580684" w:rsidP="00580684">
      <w:pPr>
        <w:spacing w:line="360" w:lineRule="auto"/>
        <w:ind w:left="720"/>
        <w:jc w:val="both"/>
        <w:rPr>
          <w:sz w:val="22"/>
          <w:szCs w:val="22"/>
        </w:rPr>
      </w:pPr>
      <w:r>
        <w:rPr>
          <w:sz w:val="22"/>
          <w:szCs w:val="22"/>
        </w:rPr>
        <w:t>Similarly, i</w:t>
      </w:r>
      <w:r w:rsidRPr="009777D1">
        <w:rPr>
          <w:sz w:val="22"/>
          <w:szCs w:val="22"/>
        </w:rPr>
        <w:t xml:space="preserve">n </w:t>
      </w:r>
      <w:r w:rsidRPr="00094C91">
        <w:rPr>
          <w:i/>
          <w:sz w:val="22"/>
          <w:szCs w:val="22"/>
        </w:rPr>
        <w:t>R</w:t>
      </w:r>
      <w:r>
        <w:rPr>
          <w:i/>
          <w:sz w:val="22"/>
          <w:szCs w:val="22"/>
        </w:rPr>
        <w:t xml:space="preserve"> </w:t>
      </w:r>
      <w:r w:rsidRPr="00094C91">
        <w:rPr>
          <w:i/>
          <w:sz w:val="22"/>
          <w:szCs w:val="22"/>
        </w:rPr>
        <w:t xml:space="preserve">(MXL) v </w:t>
      </w:r>
      <w:r w:rsidR="00D02F03">
        <w:rPr>
          <w:i/>
          <w:sz w:val="22"/>
          <w:szCs w:val="22"/>
        </w:rPr>
        <w:t>SSHD</w:t>
      </w:r>
      <w:r>
        <w:rPr>
          <w:i/>
          <w:sz w:val="22"/>
          <w:szCs w:val="22"/>
        </w:rPr>
        <w:t xml:space="preserve"> </w:t>
      </w:r>
      <w:r w:rsidRPr="009777D1">
        <w:rPr>
          <w:sz w:val="22"/>
          <w:szCs w:val="22"/>
        </w:rPr>
        <w:t>(a case concerning the immigration detention of a woman with two young children), Blake J stated</w:t>
      </w:r>
      <w:r>
        <w:rPr>
          <w:sz w:val="22"/>
          <w:szCs w:val="22"/>
        </w:rPr>
        <w:t xml:space="preserve"> at </w:t>
      </w:r>
      <w:proofErr w:type="spellStart"/>
      <w:r>
        <w:rPr>
          <w:sz w:val="22"/>
          <w:szCs w:val="22"/>
        </w:rPr>
        <w:t>para</w:t>
      </w:r>
      <w:proofErr w:type="spellEnd"/>
      <w:r>
        <w:rPr>
          <w:sz w:val="22"/>
          <w:szCs w:val="22"/>
        </w:rPr>
        <w:t>. 83</w:t>
      </w:r>
      <w:r w:rsidRPr="009777D1">
        <w:rPr>
          <w:sz w:val="22"/>
          <w:szCs w:val="22"/>
        </w:rPr>
        <w:t>:</w:t>
      </w:r>
    </w:p>
    <w:p w:rsidR="00580684" w:rsidRDefault="00580684" w:rsidP="00580684">
      <w:pPr>
        <w:pStyle w:val="ListParagraph"/>
        <w:spacing w:line="360" w:lineRule="auto"/>
        <w:ind w:left="0"/>
        <w:jc w:val="both"/>
        <w:rPr>
          <w:sz w:val="22"/>
          <w:szCs w:val="22"/>
        </w:rPr>
      </w:pPr>
    </w:p>
    <w:p w:rsidR="00580684" w:rsidRPr="00E7047D" w:rsidRDefault="00580684" w:rsidP="00E7047D">
      <w:pPr>
        <w:pStyle w:val="ListParagraph"/>
        <w:ind w:left="1440" w:right="1134"/>
        <w:jc w:val="both"/>
        <w:rPr>
          <w:i/>
          <w:sz w:val="22"/>
          <w:szCs w:val="22"/>
        </w:rPr>
      </w:pPr>
      <w:r w:rsidRPr="00E7047D">
        <w:rPr>
          <w:i/>
          <w:sz w:val="22"/>
          <w:szCs w:val="22"/>
        </w:rPr>
        <w:t>“Once Article 8 is engaged, the exercise of judgment in a case falling within its ambit must comply with the principles identified by Strasbourg. In a case where the interests of children are affected this means that other principles of international law binding on contracting states should be complied with.”</w:t>
      </w:r>
      <w:r w:rsidRPr="00E7047D">
        <w:rPr>
          <w:rStyle w:val="FootnoteReference"/>
          <w:i/>
          <w:sz w:val="22"/>
          <w:szCs w:val="22"/>
        </w:rPr>
        <w:footnoteReference w:id="7"/>
      </w:r>
    </w:p>
    <w:p w:rsidR="00580684" w:rsidRPr="00E7047D" w:rsidRDefault="00580684" w:rsidP="00580684">
      <w:pPr>
        <w:pStyle w:val="ListParagraph"/>
        <w:spacing w:line="360" w:lineRule="auto"/>
        <w:rPr>
          <w:i/>
          <w:sz w:val="22"/>
          <w:szCs w:val="22"/>
        </w:rPr>
      </w:pPr>
    </w:p>
    <w:p w:rsidR="00580684" w:rsidRDefault="00580684" w:rsidP="00E7047D">
      <w:pPr>
        <w:tabs>
          <w:tab w:val="left" w:pos="540"/>
        </w:tabs>
        <w:spacing w:line="360" w:lineRule="auto"/>
        <w:jc w:val="both"/>
        <w:rPr>
          <w:sz w:val="22"/>
          <w:szCs w:val="22"/>
        </w:rPr>
      </w:pPr>
    </w:p>
    <w:p w:rsidR="00D02F03" w:rsidRDefault="009F7EB8" w:rsidP="009F7EB8">
      <w:pPr>
        <w:tabs>
          <w:tab w:val="left" w:pos="540"/>
        </w:tabs>
        <w:spacing w:line="360" w:lineRule="auto"/>
        <w:ind w:left="540" w:hanging="540"/>
        <w:jc w:val="both"/>
        <w:rPr>
          <w:sz w:val="22"/>
          <w:szCs w:val="22"/>
        </w:rPr>
      </w:pPr>
      <w:r>
        <w:rPr>
          <w:sz w:val="22"/>
          <w:szCs w:val="22"/>
        </w:rPr>
        <w:t>4.45</w:t>
      </w:r>
      <w:r>
        <w:rPr>
          <w:sz w:val="22"/>
          <w:szCs w:val="22"/>
        </w:rPr>
        <w:tab/>
      </w:r>
      <w:r w:rsidR="00EF7504">
        <w:rPr>
          <w:sz w:val="22"/>
          <w:szCs w:val="22"/>
        </w:rPr>
        <w:t xml:space="preserve">The </w:t>
      </w:r>
      <w:r w:rsidR="00894E51">
        <w:rPr>
          <w:sz w:val="22"/>
          <w:szCs w:val="22"/>
        </w:rPr>
        <w:t>Supreme Court has in three recent decisions emphasised the importance of th</w:t>
      </w:r>
      <w:r>
        <w:rPr>
          <w:sz w:val="22"/>
          <w:szCs w:val="22"/>
        </w:rPr>
        <w:t>e best interests</w:t>
      </w:r>
      <w:r w:rsidR="00894E51">
        <w:rPr>
          <w:sz w:val="22"/>
          <w:szCs w:val="22"/>
        </w:rPr>
        <w:t xml:space="preserve"> principle, and its enforceability in the domestic courts: </w:t>
      </w:r>
      <w:r w:rsidR="00EF7504" w:rsidRPr="00894E51">
        <w:rPr>
          <w:i/>
          <w:sz w:val="22"/>
          <w:szCs w:val="22"/>
        </w:rPr>
        <w:t>ZH (Tanzania) v. SSHD</w:t>
      </w:r>
      <w:r w:rsidR="00EF7504" w:rsidRPr="00894E51">
        <w:rPr>
          <w:sz w:val="22"/>
          <w:szCs w:val="22"/>
        </w:rPr>
        <w:t xml:space="preserve"> [2011] 2 AC 166; </w:t>
      </w:r>
      <w:r w:rsidR="00EF7504" w:rsidRPr="00894E51">
        <w:rPr>
          <w:i/>
          <w:sz w:val="22"/>
          <w:szCs w:val="22"/>
        </w:rPr>
        <w:t>R (HH and PH) v. Deputy Prosecutor of the Italian Republic, Genoa; F-K v. Polish Judicial Authority</w:t>
      </w:r>
      <w:r w:rsidR="00EF7504" w:rsidRPr="00894E51">
        <w:rPr>
          <w:sz w:val="22"/>
          <w:szCs w:val="22"/>
        </w:rPr>
        <w:t xml:space="preserve"> [2012] UKSC 25; </w:t>
      </w:r>
      <w:r w:rsidR="00EF7504" w:rsidRPr="00894E51">
        <w:rPr>
          <w:i/>
          <w:sz w:val="22"/>
          <w:szCs w:val="22"/>
        </w:rPr>
        <w:t>BH and KAS/ H v. The Lord Advocate and Another (Scotland)</w:t>
      </w:r>
      <w:r w:rsidR="00EF7504" w:rsidRPr="00894E51">
        <w:rPr>
          <w:sz w:val="22"/>
          <w:szCs w:val="22"/>
        </w:rPr>
        <w:t xml:space="preserve"> [2012] UKSC 24.</w:t>
      </w:r>
    </w:p>
    <w:p w:rsidR="00D02F03" w:rsidRDefault="00D02F03" w:rsidP="009F7EB8">
      <w:pPr>
        <w:tabs>
          <w:tab w:val="left" w:pos="540"/>
        </w:tabs>
        <w:spacing w:line="360" w:lineRule="auto"/>
        <w:ind w:left="540" w:hanging="540"/>
        <w:jc w:val="both"/>
        <w:rPr>
          <w:sz w:val="22"/>
          <w:szCs w:val="22"/>
        </w:rPr>
      </w:pPr>
    </w:p>
    <w:p w:rsidR="001758EF" w:rsidRDefault="00D02F03" w:rsidP="00D02F03">
      <w:pPr>
        <w:tabs>
          <w:tab w:val="left" w:pos="540"/>
        </w:tabs>
        <w:spacing w:line="360" w:lineRule="auto"/>
        <w:ind w:left="540" w:hanging="540"/>
        <w:jc w:val="both"/>
        <w:rPr>
          <w:rStyle w:val="sb8d990e2"/>
          <w:sz w:val="22"/>
          <w:szCs w:val="22"/>
        </w:rPr>
      </w:pPr>
      <w:r>
        <w:rPr>
          <w:sz w:val="22"/>
          <w:szCs w:val="22"/>
        </w:rPr>
        <w:t>4.46</w:t>
      </w:r>
      <w:r w:rsidR="001758EF">
        <w:rPr>
          <w:sz w:val="22"/>
          <w:szCs w:val="22"/>
        </w:rPr>
        <w:t xml:space="preserve">  </w:t>
      </w:r>
      <w:r w:rsidR="009F7EB8">
        <w:rPr>
          <w:sz w:val="22"/>
          <w:szCs w:val="22"/>
        </w:rPr>
        <w:t xml:space="preserve">Further, the Grand Chamber in </w:t>
      </w:r>
      <w:r w:rsidR="008D41A1" w:rsidRPr="008D41A1">
        <w:rPr>
          <w:i/>
          <w:sz w:val="22"/>
          <w:szCs w:val="22"/>
        </w:rPr>
        <w:t xml:space="preserve">S and </w:t>
      </w:r>
      <w:proofErr w:type="spellStart"/>
      <w:r w:rsidR="008D41A1" w:rsidRPr="008D41A1">
        <w:rPr>
          <w:i/>
          <w:sz w:val="22"/>
          <w:szCs w:val="22"/>
        </w:rPr>
        <w:t>Marper</w:t>
      </w:r>
      <w:proofErr w:type="spellEnd"/>
      <w:r w:rsidR="009F7EB8">
        <w:rPr>
          <w:sz w:val="22"/>
          <w:szCs w:val="22"/>
        </w:rPr>
        <w:t xml:space="preserve"> cited Article 40</w:t>
      </w:r>
      <w:r>
        <w:rPr>
          <w:sz w:val="22"/>
          <w:szCs w:val="22"/>
        </w:rPr>
        <w:t xml:space="preserve"> UNCRC</w:t>
      </w:r>
      <w:r w:rsidR="009F7EB8">
        <w:rPr>
          <w:sz w:val="22"/>
          <w:szCs w:val="22"/>
        </w:rPr>
        <w:t xml:space="preserve">, and the Canadian case of </w:t>
      </w:r>
      <w:r w:rsidR="008D41A1" w:rsidRPr="008D41A1">
        <w:rPr>
          <w:i/>
          <w:sz w:val="22"/>
          <w:szCs w:val="22"/>
        </w:rPr>
        <w:t>R v. RC</w:t>
      </w:r>
      <w:r w:rsidR="009F7EB8">
        <w:rPr>
          <w:sz w:val="22"/>
          <w:szCs w:val="22"/>
        </w:rPr>
        <w:t xml:space="preserve"> [2005] 3 SCR 99 (see </w:t>
      </w:r>
      <w:proofErr w:type="spellStart"/>
      <w:r w:rsidR="009F7EB8">
        <w:rPr>
          <w:sz w:val="22"/>
          <w:szCs w:val="22"/>
        </w:rPr>
        <w:t>para</w:t>
      </w:r>
      <w:proofErr w:type="spellEnd"/>
      <w:r w:rsidR="009F7EB8">
        <w:rPr>
          <w:sz w:val="22"/>
          <w:szCs w:val="22"/>
        </w:rPr>
        <w:t xml:space="preserve">. 54 of the judgment).In </w:t>
      </w:r>
      <w:r w:rsidR="008D41A1" w:rsidRPr="00D02F03">
        <w:rPr>
          <w:rStyle w:val="s6b621b36"/>
          <w:i/>
          <w:sz w:val="22"/>
          <w:szCs w:val="22"/>
        </w:rPr>
        <w:t>R v. RC</w:t>
      </w:r>
      <w:r w:rsidR="008D41A1" w:rsidRPr="008D41A1">
        <w:rPr>
          <w:rStyle w:val="s6b621b36"/>
          <w:sz w:val="22"/>
          <w:szCs w:val="22"/>
        </w:rPr>
        <w:t xml:space="preserve"> </w:t>
      </w:r>
      <w:r w:rsidR="008D41A1" w:rsidRPr="008D41A1">
        <w:rPr>
          <w:rStyle w:val="sb8d990e2"/>
          <w:sz w:val="22"/>
          <w:szCs w:val="22"/>
        </w:rPr>
        <w:t>the Supreme Court of Canada considered the issue of retaining</w:t>
      </w:r>
      <w:r>
        <w:rPr>
          <w:rStyle w:val="sb8d990e2"/>
          <w:sz w:val="22"/>
          <w:szCs w:val="22"/>
        </w:rPr>
        <w:t xml:space="preserve"> a juvenile first-time offender’</w:t>
      </w:r>
      <w:r w:rsidR="008D41A1" w:rsidRPr="008D41A1">
        <w:rPr>
          <w:rStyle w:val="sb8d990e2"/>
          <w:sz w:val="22"/>
          <w:szCs w:val="22"/>
        </w:rPr>
        <w:t>s DNA sample on the national data bank. The court upheld the decision by a trial judge who had found, in the light of the principles and objects of youth criminal justice legislation, that the impact of the DNA retention would be grossly disproportionate. In his opinion, Fish J. observed:</w:t>
      </w:r>
    </w:p>
    <w:p w:rsidR="00D02F03" w:rsidRPr="001758EF" w:rsidRDefault="00D02F03" w:rsidP="00D02F03">
      <w:pPr>
        <w:tabs>
          <w:tab w:val="left" w:pos="540"/>
        </w:tabs>
        <w:spacing w:line="360" w:lineRule="auto"/>
        <w:ind w:left="540" w:hanging="540"/>
        <w:jc w:val="both"/>
        <w:rPr>
          <w:sz w:val="22"/>
          <w:szCs w:val="22"/>
        </w:rPr>
      </w:pPr>
    </w:p>
    <w:p w:rsidR="0058263E" w:rsidRDefault="008D41A1" w:rsidP="00D02F03">
      <w:pPr>
        <w:pStyle w:val="s9e9b0cd7"/>
        <w:spacing w:before="0" w:beforeAutospacing="0" w:after="0" w:afterAutospacing="0"/>
        <w:ind w:left="1440" w:right="1134"/>
        <w:jc w:val="both"/>
        <w:rPr>
          <w:i/>
          <w:sz w:val="22"/>
          <w:szCs w:val="22"/>
        </w:rPr>
      </w:pPr>
      <w:r w:rsidRPr="008D41A1">
        <w:rPr>
          <w:rStyle w:val="sfbbfee58"/>
          <w:i/>
          <w:sz w:val="22"/>
          <w:szCs w:val="22"/>
        </w:rPr>
        <w:t xml:space="preserve">“Of more concern, however, is the impact of an order on an individual's informational privacy interests. In R. v. Plant, [1993] 3 S.C.R. 281, at p. 293, the Court found that s. 8 of the Charter protected the 'biographical core of personal information which individuals in a free and democratic society would wish to maintain and control from dissemination to the state'. An individual's DNA contains the 'highest level of personal and private information': S.A.B., at </w:t>
      </w:r>
      <w:proofErr w:type="spellStart"/>
      <w:r w:rsidRPr="008D41A1">
        <w:rPr>
          <w:rStyle w:val="sfbbfee58"/>
          <w:i/>
          <w:sz w:val="22"/>
          <w:szCs w:val="22"/>
        </w:rPr>
        <w:t>para</w:t>
      </w:r>
      <w:proofErr w:type="spellEnd"/>
      <w:r w:rsidRPr="008D41A1">
        <w:rPr>
          <w:rStyle w:val="sfbbfee58"/>
          <w:i/>
          <w:sz w:val="22"/>
          <w:szCs w:val="22"/>
        </w:rPr>
        <w:t>. 48. Unlike a fingerprint, it is capable of revealing the most intimate details of a person's biological makeup. ... The taking and retention of a DNA sample is not a trivial matter and, absent a compelling public interest, would inherently constitute a grave intrusion on the subject's right to personal and informational privacy.”</w:t>
      </w:r>
    </w:p>
    <w:p w:rsidR="001758EF" w:rsidRDefault="001758EF" w:rsidP="00D02F03">
      <w:pPr>
        <w:tabs>
          <w:tab w:val="left" w:pos="540"/>
        </w:tabs>
        <w:spacing w:line="360" w:lineRule="auto"/>
        <w:jc w:val="both"/>
        <w:rPr>
          <w:sz w:val="22"/>
          <w:szCs w:val="22"/>
        </w:rPr>
      </w:pPr>
    </w:p>
    <w:p w:rsidR="00894E51" w:rsidRDefault="00894E51" w:rsidP="00894E51">
      <w:pPr>
        <w:tabs>
          <w:tab w:val="left" w:pos="540"/>
        </w:tabs>
        <w:spacing w:line="360" w:lineRule="auto"/>
        <w:ind w:left="540" w:hanging="540"/>
        <w:jc w:val="both"/>
        <w:rPr>
          <w:sz w:val="22"/>
          <w:szCs w:val="22"/>
        </w:rPr>
      </w:pPr>
      <w:r>
        <w:rPr>
          <w:sz w:val="22"/>
          <w:szCs w:val="22"/>
        </w:rPr>
        <w:t>4.</w:t>
      </w:r>
      <w:r w:rsidR="009F7EB8">
        <w:rPr>
          <w:sz w:val="22"/>
          <w:szCs w:val="22"/>
        </w:rPr>
        <w:t>47</w:t>
      </w:r>
      <w:r>
        <w:rPr>
          <w:sz w:val="22"/>
          <w:szCs w:val="22"/>
        </w:rPr>
        <w:tab/>
        <w:t>The Commission submits that, when considering the proportionality of the blanket scheme, and its application to T</w:t>
      </w:r>
      <w:r w:rsidR="00D02F03">
        <w:rPr>
          <w:sz w:val="22"/>
          <w:szCs w:val="22"/>
        </w:rPr>
        <w:t xml:space="preserve"> (whose warnings in 2002 were his first and only ones)</w:t>
      </w:r>
      <w:r>
        <w:rPr>
          <w:sz w:val="22"/>
          <w:szCs w:val="22"/>
        </w:rPr>
        <w:t>, this background may assist.</w:t>
      </w:r>
      <w:r w:rsidR="00D02F03">
        <w:rPr>
          <w:sz w:val="22"/>
          <w:szCs w:val="22"/>
        </w:rPr>
        <w:t xml:space="preserve">  Both Respondents and the Interested Party are subject to the provisions of the UNCRC, and it also applies to the Court when considering this appeal.</w:t>
      </w:r>
    </w:p>
    <w:p w:rsidR="00894E51" w:rsidRDefault="00894E51" w:rsidP="00894E51">
      <w:pPr>
        <w:tabs>
          <w:tab w:val="left" w:pos="540"/>
        </w:tabs>
        <w:spacing w:line="360" w:lineRule="auto"/>
        <w:ind w:left="540" w:hanging="540"/>
        <w:jc w:val="both"/>
        <w:rPr>
          <w:sz w:val="22"/>
          <w:szCs w:val="22"/>
        </w:rPr>
      </w:pPr>
    </w:p>
    <w:p w:rsidR="006D1477" w:rsidRDefault="00894E51" w:rsidP="00894E51">
      <w:pPr>
        <w:tabs>
          <w:tab w:val="left" w:pos="540"/>
        </w:tabs>
        <w:spacing w:line="360" w:lineRule="auto"/>
        <w:ind w:left="540" w:hanging="540"/>
        <w:jc w:val="both"/>
        <w:rPr>
          <w:sz w:val="22"/>
          <w:szCs w:val="22"/>
          <w:lang w:eastAsia="en-GB"/>
        </w:rPr>
      </w:pPr>
      <w:r>
        <w:rPr>
          <w:sz w:val="22"/>
          <w:szCs w:val="22"/>
        </w:rPr>
        <w:t>4.</w:t>
      </w:r>
      <w:r w:rsidR="009F7EB8">
        <w:rPr>
          <w:sz w:val="22"/>
          <w:szCs w:val="22"/>
        </w:rPr>
        <w:t>48</w:t>
      </w:r>
      <w:r>
        <w:rPr>
          <w:sz w:val="22"/>
          <w:szCs w:val="22"/>
        </w:rPr>
        <w:tab/>
        <w:t xml:space="preserve"> Finally, the Commission submits that there </w:t>
      </w:r>
      <w:r w:rsidR="006D1477" w:rsidRPr="002F5974">
        <w:rPr>
          <w:sz w:val="22"/>
          <w:szCs w:val="22"/>
          <w:lang w:eastAsia="en-GB"/>
        </w:rPr>
        <w:t>is also a further possible cost of the present system.  If the child, and his or her parents, understand, as they should, that the acceptance of a caution creates a criminal record that will always remain with the child, and potentially affect future prospects, there may be a perverse incentive to contest the charge, a result that is also in tension with the current public policy of exposing children to the criminal justice system only if necessary.  On the other hand, a system that allowed a caution to be expunged after an appropriate period of non-offending might be thought to create an efficient and sensible incentive to avoid such re-offending.</w:t>
      </w:r>
    </w:p>
    <w:p w:rsidR="009F7EB8" w:rsidRDefault="009F7EB8" w:rsidP="00894E51">
      <w:pPr>
        <w:tabs>
          <w:tab w:val="left" w:pos="540"/>
        </w:tabs>
        <w:spacing w:line="360" w:lineRule="auto"/>
        <w:ind w:left="540" w:hanging="540"/>
        <w:jc w:val="both"/>
        <w:rPr>
          <w:sz w:val="22"/>
          <w:szCs w:val="22"/>
          <w:lang w:eastAsia="en-GB"/>
        </w:rPr>
      </w:pPr>
    </w:p>
    <w:p w:rsidR="006B35E5" w:rsidRPr="009F7EB8" w:rsidRDefault="008D41A1" w:rsidP="00894E51">
      <w:pPr>
        <w:tabs>
          <w:tab w:val="left" w:pos="540"/>
        </w:tabs>
        <w:spacing w:line="360" w:lineRule="auto"/>
        <w:ind w:left="540" w:hanging="540"/>
        <w:jc w:val="both"/>
        <w:rPr>
          <w:i/>
          <w:sz w:val="22"/>
          <w:szCs w:val="22"/>
          <w:lang w:eastAsia="en-GB"/>
        </w:rPr>
      </w:pPr>
      <w:r w:rsidRPr="008D41A1">
        <w:rPr>
          <w:i/>
          <w:sz w:val="22"/>
          <w:szCs w:val="22"/>
          <w:lang w:eastAsia="en-GB"/>
        </w:rPr>
        <w:tab/>
        <w:t>The L Case</w:t>
      </w:r>
    </w:p>
    <w:p w:rsidR="009F7EB8" w:rsidRDefault="009F7EB8" w:rsidP="00D02F03">
      <w:pPr>
        <w:tabs>
          <w:tab w:val="left" w:pos="540"/>
        </w:tabs>
        <w:spacing w:line="360" w:lineRule="auto"/>
        <w:ind w:left="540" w:hanging="540"/>
        <w:jc w:val="both"/>
        <w:rPr>
          <w:sz w:val="22"/>
          <w:szCs w:val="22"/>
          <w:lang w:eastAsia="en-GB"/>
        </w:rPr>
      </w:pPr>
      <w:r>
        <w:rPr>
          <w:sz w:val="22"/>
          <w:szCs w:val="22"/>
          <w:lang w:eastAsia="en-GB"/>
        </w:rPr>
        <w:t>4.49</w:t>
      </w:r>
      <w:r>
        <w:rPr>
          <w:sz w:val="22"/>
          <w:szCs w:val="22"/>
          <w:lang w:eastAsia="en-GB"/>
        </w:rPr>
        <w:tab/>
        <w:t>The Commission supports the two-pronged approach adopted by the Appellant</w:t>
      </w:r>
      <w:r w:rsidR="00D02F03">
        <w:rPr>
          <w:sz w:val="22"/>
          <w:szCs w:val="22"/>
          <w:lang w:eastAsia="en-GB"/>
        </w:rPr>
        <w:t xml:space="preserve">, i.e. his submissions </w:t>
      </w:r>
      <w:r w:rsidR="00D02F03" w:rsidRPr="00D02F03">
        <w:rPr>
          <w:sz w:val="22"/>
          <w:szCs w:val="22"/>
        </w:rPr>
        <w:t xml:space="preserve">either that the Learned Judge was wrong to consider himself bound by the </w:t>
      </w:r>
      <w:r w:rsidR="00D02F03" w:rsidRPr="00D02F03">
        <w:rPr>
          <w:i/>
          <w:sz w:val="22"/>
          <w:szCs w:val="22"/>
        </w:rPr>
        <w:t>L</w:t>
      </w:r>
      <w:r w:rsidR="00D02F03" w:rsidRPr="00D02F03">
        <w:rPr>
          <w:sz w:val="22"/>
          <w:szCs w:val="22"/>
        </w:rPr>
        <w:t xml:space="preserve"> case; or alternatively that there were obiter statements in </w:t>
      </w:r>
      <w:r w:rsidR="00D02F03" w:rsidRPr="00D02F03">
        <w:rPr>
          <w:i/>
          <w:sz w:val="22"/>
          <w:szCs w:val="22"/>
        </w:rPr>
        <w:t>L</w:t>
      </w:r>
      <w:r w:rsidR="00D02F03" w:rsidRPr="00D02F03">
        <w:rPr>
          <w:sz w:val="22"/>
          <w:szCs w:val="22"/>
        </w:rPr>
        <w:t xml:space="preserve"> which he should follow.</w:t>
      </w:r>
      <w:r w:rsidR="00D02F03">
        <w:rPr>
          <w:sz w:val="22"/>
          <w:szCs w:val="22"/>
        </w:rPr>
        <w:t xml:space="preserve">  </w:t>
      </w:r>
      <w:r>
        <w:rPr>
          <w:sz w:val="22"/>
          <w:szCs w:val="22"/>
          <w:lang w:eastAsia="en-GB"/>
        </w:rPr>
        <w:t xml:space="preserve">The Learned Judge’s basis for his conclusion is essentially an obiter presumption by Lord Neuberger, and it did not bind Kenneth Parker J, nor does it bind this Court.  It also pre-dates the </w:t>
      </w:r>
      <w:r w:rsidR="008D41A1" w:rsidRPr="008D41A1">
        <w:rPr>
          <w:i/>
          <w:sz w:val="22"/>
          <w:szCs w:val="22"/>
          <w:lang w:eastAsia="en-GB"/>
        </w:rPr>
        <w:t>F</w:t>
      </w:r>
      <w:r>
        <w:rPr>
          <w:sz w:val="22"/>
          <w:szCs w:val="22"/>
          <w:lang w:eastAsia="en-GB"/>
        </w:rPr>
        <w:t xml:space="preserve"> case, which was unanimous. </w:t>
      </w:r>
    </w:p>
    <w:p w:rsidR="00894E51" w:rsidRDefault="00894E51" w:rsidP="00894E51">
      <w:pPr>
        <w:tabs>
          <w:tab w:val="left" w:pos="540"/>
        </w:tabs>
        <w:spacing w:line="360" w:lineRule="auto"/>
        <w:ind w:left="540" w:hanging="540"/>
        <w:jc w:val="both"/>
        <w:rPr>
          <w:sz w:val="22"/>
          <w:szCs w:val="22"/>
          <w:lang w:eastAsia="en-GB"/>
        </w:rPr>
      </w:pPr>
    </w:p>
    <w:p w:rsidR="009F7EB8" w:rsidRPr="009F7EB8" w:rsidRDefault="008D41A1" w:rsidP="00894E51">
      <w:pPr>
        <w:tabs>
          <w:tab w:val="left" w:pos="540"/>
        </w:tabs>
        <w:spacing w:line="360" w:lineRule="auto"/>
        <w:ind w:left="540" w:hanging="540"/>
        <w:jc w:val="both"/>
        <w:rPr>
          <w:b/>
          <w:sz w:val="22"/>
          <w:szCs w:val="22"/>
          <w:lang w:eastAsia="en-GB"/>
        </w:rPr>
      </w:pPr>
      <w:r w:rsidRPr="008D41A1">
        <w:rPr>
          <w:b/>
          <w:sz w:val="22"/>
          <w:szCs w:val="22"/>
          <w:lang w:eastAsia="en-GB"/>
        </w:rPr>
        <w:t>5.</w:t>
      </w:r>
      <w:r w:rsidRPr="008D41A1">
        <w:rPr>
          <w:b/>
          <w:sz w:val="22"/>
          <w:szCs w:val="22"/>
          <w:lang w:eastAsia="en-GB"/>
        </w:rPr>
        <w:tab/>
        <w:t>THE 1975 ORDER</w:t>
      </w:r>
    </w:p>
    <w:p w:rsidR="00D02F03" w:rsidRDefault="009F7EB8" w:rsidP="00D02F03">
      <w:pPr>
        <w:tabs>
          <w:tab w:val="left" w:pos="540"/>
        </w:tabs>
        <w:spacing w:line="360" w:lineRule="auto"/>
        <w:ind w:left="540" w:hanging="540"/>
        <w:jc w:val="both"/>
        <w:rPr>
          <w:sz w:val="22"/>
          <w:szCs w:val="22"/>
        </w:rPr>
      </w:pPr>
      <w:r>
        <w:rPr>
          <w:sz w:val="22"/>
          <w:szCs w:val="22"/>
          <w:lang w:eastAsia="en-GB"/>
        </w:rPr>
        <w:t>5.1</w:t>
      </w:r>
      <w:r>
        <w:rPr>
          <w:sz w:val="22"/>
          <w:szCs w:val="22"/>
          <w:lang w:eastAsia="en-GB"/>
        </w:rPr>
        <w:tab/>
        <w:t xml:space="preserve">Although this is an obiter finding only, the Commission agrees with the Appellant’s submissions concerning the flaws in the Learned Judge’s reasoning, and the relief he seeks.  The Commission </w:t>
      </w:r>
      <w:r w:rsidRPr="00D02F03">
        <w:rPr>
          <w:sz w:val="22"/>
          <w:szCs w:val="22"/>
          <w:lang w:eastAsia="en-GB"/>
        </w:rPr>
        <w:t xml:space="preserve">considers that Article 8(1) is applicable, and there is no justification under 8(2), for the reasons set out above in relation to the </w:t>
      </w:r>
      <w:r w:rsidR="00D02F03">
        <w:rPr>
          <w:sz w:val="22"/>
          <w:szCs w:val="22"/>
          <w:lang w:eastAsia="en-GB"/>
        </w:rPr>
        <w:t xml:space="preserve">scheme of the </w:t>
      </w:r>
      <w:r w:rsidRPr="00D02F03">
        <w:rPr>
          <w:sz w:val="22"/>
          <w:szCs w:val="22"/>
          <w:lang w:eastAsia="en-GB"/>
        </w:rPr>
        <w:t>1997 Act.</w:t>
      </w:r>
      <w:r w:rsidR="00D02F03" w:rsidRPr="00D02F03">
        <w:rPr>
          <w:sz w:val="22"/>
          <w:szCs w:val="22"/>
          <w:lang w:eastAsia="en-GB"/>
        </w:rPr>
        <w:t xml:space="preserve">  It would be </w:t>
      </w:r>
      <w:r w:rsidR="00D02F03">
        <w:rPr>
          <w:sz w:val="22"/>
          <w:szCs w:val="22"/>
          <w:lang w:eastAsia="en-GB"/>
        </w:rPr>
        <w:t xml:space="preserve">remarkable were there to </w:t>
      </w:r>
      <w:r w:rsidR="00D02F03" w:rsidRPr="00D02F03">
        <w:rPr>
          <w:sz w:val="22"/>
          <w:szCs w:val="22"/>
        </w:rPr>
        <w:t>be strict restrictions required pursuant to Article 8 on the use of data by the State but the individual could still be required to answer re</w:t>
      </w:r>
      <w:r w:rsidR="00D02F03">
        <w:rPr>
          <w:sz w:val="22"/>
          <w:szCs w:val="22"/>
        </w:rPr>
        <w:t>lated questions put to him by a private</w:t>
      </w:r>
      <w:r w:rsidR="00D02F03" w:rsidRPr="00D02F03">
        <w:rPr>
          <w:sz w:val="22"/>
          <w:szCs w:val="22"/>
        </w:rPr>
        <w:t xml:space="preserve"> employer.  </w:t>
      </w:r>
    </w:p>
    <w:p w:rsidR="009F7EB8" w:rsidRDefault="009F7EB8" w:rsidP="00D02F03">
      <w:pPr>
        <w:tabs>
          <w:tab w:val="left" w:pos="540"/>
        </w:tabs>
        <w:spacing w:line="360" w:lineRule="auto"/>
        <w:jc w:val="both"/>
        <w:rPr>
          <w:sz w:val="22"/>
          <w:szCs w:val="22"/>
          <w:lang w:eastAsia="en-GB"/>
        </w:rPr>
      </w:pPr>
    </w:p>
    <w:p w:rsidR="00D02F03" w:rsidRDefault="00D02F03" w:rsidP="00894E51">
      <w:pPr>
        <w:tabs>
          <w:tab w:val="left" w:pos="540"/>
        </w:tabs>
        <w:spacing w:line="360" w:lineRule="auto"/>
        <w:ind w:left="540" w:hanging="540"/>
        <w:jc w:val="both"/>
        <w:rPr>
          <w:sz w:val="22"/>
          <w:szCs w:val="22"/>
          <w:lang w:eastAsia="en-GB"/>
        </w:rPr>
      </w:pPr>
    </w:p>
    <w:p w:rsidR="00894E51" w:rsidRPr="00D02F03" w:rsidRDefault="00894E51" w:rsidP="00894E51">
      <w:pPr>
        <w:tabs>
          <w:tab w:val="left" w:pos="540"/>
        </w:tabs>
        <w:spacing w:line="360" w:lineRule="auto"/>
        <w:ind w:left="540" w:hanging="540"/>
        <w:jc w:val="both"/>
        <w:rPr>
          <w:sz w:val="22"/>
          <w:szCs w:val="22"/>
        </w:rPr>
      </w:pPr>
      <w:r w:rsidRPr="00D02F03">
        <w:rPr>
          <w:sz w:val="22"/>
          <w:szCs w:val="22"/>
          <w:lang w:eastAsia="en-GB"/>
        </w:rPr>
        <w:t>For the above reasons, the Commission supports this appeal.</w:t>
      </w:r>
    </w:p>
    <w:p w:rsidR="006D1477" w:rsidRPr="0067415B" w:rsidRDefault="006D1477" w:rsidP="006D1477">
      <w:pPr>
        <w:pStyle w:val="ListParagraph"/>
        <w:rPr>
          <w:sz w:val="22"/>
          <w:szCs w:val="22"/>
        </w:rPr>
      </w:pPr>
    </w:p>
    <w:p w:rsidR="006D1477" w:rsidRDefault="006D1477" w:rsidP="006D1477">
      <w:pPr>
        <w:pStyle w:val="ListParagraph"/>
        <w:spacing w:line="360" w:lineRule="auto"/>
        <w:ind w:left="567" w:hanging="567"/>
        <w:jc w:val="both"/>
        <w:rPr>
          <w:sz w:val="22"/>
          <w:szCs w:val="22"/>
        </w:rPr>
      </w:pPr>
    </w:p>
    <w:p w:rsidR="00FA20B7" w:rsidRPr="00F23992" w:rsidRDefault="00FA20B7" w:rsidP="00FA20B7">
      <w:pPr>
        <w:pStyle w:val="ListParagraph"/>
        <w:rPr>
          <w:sz w:val="22"/>
          <w:szCs w:val="22"/>
        </w:rPr>
      </w:pPr>
    </w:p>
    <w:p w:rsidR="00FA20B7" w:rsidRDefault="00FA20B7" w:rsidP="00FA20B7">
      <w:pPr>
        <w:pStyle w:val="ListParagraph"/>
        <w:tabs>
          <w:tab w:val="left" w:pos="540"/>
        </w:tabs>
        <w:spacing w:line="360" w:lineRule="auto"/>
        <w:ind w:left="567"/>
        <w:jc w:val="both"/>
        <w:rPr>
          <w:sz w:val="22"/>
          <w:szCs w:val="22"/>
        </w:rPr>
      </w:pPr>
    </w:p>
    <w:p w:rsidR="00FA20B7" w:rsidRPr="003A1900" w:rsidRDefault="00FA20B7" w:rsidP="00FA20B7">
      <w:pPr>
        <w:pStyle w:val="ListParagraph"/>
        <w:tabs>
          <w:tab w:val="left" w:pos="540"/>
        </w:tabs>
        <w:spacing w:line="360" w:lineRule="auto"/>
        <w:ind w:left="567"/>
        <w:jc w:val="both"/>
        <w:rPr>
          <w:sz w:val="22"/>
          <w:szCs w:val="22"/>
        </w:rPr>
      </w:pPr>
    </w:p>
    <w:p w:rsidR="00FA20B7" w:rsidRPr="00F00CD2" w:rsidRDefault="00FA20B7" w:rsidP="00FA20B7">
      <w:pPr>
        <w:spacing w:line="360" w:lineRule="auto"/>
        <w:ind w:left="567" w:hanging="567"/>
        <w:jc w:val="right"/>
        <w:rPr>
          <w:b/>
          <w:sz w:val="22"/>
          <w:szCs w:val="22"/>
        </w:rPr>
      </w:pPr>
    </w:p>
    <w:p w:rsidR="00FA20B7" w:rsidRPr="00F00CD2" w:rsidRDefault="00FA20B7" w:rsidP="00FA20B7">
      <w:pPr>
        <w:spacing w:line="360" w:lineRule="auto"/>
        <w:ind w:left="567" w:hanging="567"/>
        <w:jc w:val="right"/>
        <w:rPr>
          <w:b/>
          <w:sz w:val="22"/>
          <w:szCs w:val="22"/>
        </w:rPr>
      </w:pPr>
      <w:r w:rsidRPr="00F00CD2">
        <w:rPr>
          <w:b/>
          <w:sz w:val="22"/>
          <w:szCs w:val="22"/>
        </w:rPr>
        <w:t xml:space="preserve">CAOILFHIONN GALLAGHER </w:t>
      </w:r>
    </w:p>
    <w:p w:rsidR="00FA20B7" w:rsidRDefault="00FA20B7" w:rsidP="00FA20B7">
      <w:pPr>
        <w:spacing w:line="360" w:lineRule="auto"/>
        <w:ind w:left="567" w:hanging="567"/>
        <w:jc w:val="right"/>
        <w:rPr>
          <w:b/>
          <w:sz w:val="22"/>
          <w:szCs w:val="22"/>
        </w:rPr>
      </w:pPr>
      <w:r w:rsidRPr="00F00CD2">
        <w:rPr>
          <w:b/>
          <w:sz w:val="22"/>
          <w:szCs w:val="22"/>
        </w:rPr>
        <w:t>Doughty Street Chambers</w:t>
      </w:r>
    </w:p>
    <w:p w:rsidR="00FA20B7" w:rsidRPr="00F00CD2" w:rsidRDefault="00FA20B7" w:rsidP="00FA20B7">
      <w:pPr>
        <w:spacing w:line="360" w:lineRule="auto"/>
        <w:ind w:left="567" w:hanging="567"/>
        <w:jc w:val="right"/>
        <w:rPr>
          <w:b/>
          <w:sz w:val="22"/>
          <w:szCs w:val="22"/>
        </w:rPr>
      </w:pPr>
      <w:r>
        <w:rPr>
          <w:b/>
          <w:sz w:val="22"/>
          <w:szCs w:val="22"/>
        </w:rPr>
        <w:t>1</w:t>
      </w:r>
      <w:r w:rsidR="006B35E5">
        <w:rPr>
          <w:b/>
          <w:sz w:val="22"/>
          <w:szCs w:val="22"/>
        </w:rPr>
        <w:t>4</w:t>
      </w:r>
      <w:r w:rsidRPr="00232104">
        <w:rPr>
          <w:b/>
          <w:sz w:val="22"/>
          <w:szCs w:val="22"/>
          <w:vertAlign w:val="superscript"/>
        </w:rPr>
        <w:t>th</w:t>
      </w:r>
      <w:r>
        <w:rPr>
          <w:b/>
          <w:sz w:val="22"/>
          <w:szCs w:val="22"/>
        </w:rPr>
        <w:t xml:space="preserve"> November 2012</w:t>
      </w:r>
    </w:p>
    <w:p w:rsidR="00FA20B7" w:rsidRDefault="00FA20B7" w:rsidP="00A749D9">
      <w:pPr>
        <w:tabs>
          <w:tab w:val="left" w:pos="540"/>
        </w:tabs>
        <w:spacing w:line="360" w:lineRule="auto"/>
        <w:ind w:left="540" w:hanging="540"/>
        <w:jc w:val="both"/>
        <w:rPr>
          <w:sz w:val="22"/>
          <w:szCs w:val="22"/>
        </w:rPr>
      </w:pPr>
    </w:p>
    <w:sectPr w:rsidR="00FA20B7" w:rsidSect="00B022EE">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A13" w:rsidRDefault="00972A13" w:rsidP="000637C0">
      <w:r>
        <w:separator/>
      </w:r>
    </w:p>
  </w:endnote>
  <w:endnote w:type="continuationSeparator" w:id="0">
    <w:p w:rsidR="00972A13" w:rsidRDefault="00972A13" w:rsidP="000637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93188"/>
      <w:docPartObj>
        <w:docPartGallery w:val="Page Numbers (Bottom of Page)"/>
        <w:docPartUnique/>
      </w:docPartObj>
    </w:sdtPr>
    <w:sdtContent>
      <w:p w:rsidR="00972A13" w:rsidRDefault="00972A13">
        <w:pPr>
          <w:pStyle w:val="Footer"/>
          <w:jc w:val="center"/>
        </w:pPr>
        <w:fldSimple w:instr=" PAGE   \* MERGEFORMAT ">
          <w:r w:rsidR="00C0521F">
            <w:rPr>
              <w:noProof/>
            </w:rPr>
            <w:t>1</w:t>
          </w:r>
        </w:fldSimple>
      </w:p>
    </w:sdtContent>
  </w:sdt>
  <w:p w:rsidR="00972A13" w:rsidRDefault="00972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A13" w:rsidRDefault="00972A13" w:rsidP="000637C0">
      <w:r>
        <w:separator/>
      </w:r>
    </w:p>
  </w:footnote>
  <w:footnote w:type="continuationSeparator" w:id="0">
    <w:p w:rsidR="00972A13" w:rsidRDefault="00972A13" w:rsidP="000637C0">
      <w:r>
        <w:continuationSeparator/>
      </w:r>
    </w:p>
  </w:footnote>
  <w:footnote w:id="1">
    <w:p w:rsidR="00972A13" w:rsidRPr="004568F4" w:rsidRDefault="00972A13">
      <w:pPr>
        <w:pStyle w:val="FootnoteText"/>
        <w:rPr>
          <w:lang w:val="en-US"/>
        </w:rPr>
      </w:pPr>
      <w:r>
        <w:rPr>
          <w:rStyle w:val="FootnoteReference"/>
        </w:rPr>
        <w:footnoteRef/>
      </w:r>
      <w:r>
        <w:t xml:space="preserve"> </w:t>
      </w:r>
      <w:r>
        <w:rPr>
          <w:lang w:val="en-US"/>
        </w:rPr>
        <w:t xml:space="preserve">This research was undertaken by Professor Charles </w:t>
      </w:r>
      <w:proofErr w:type="spellStart"/>
      <w:r>
        <w:rPr>
          <w:lang w:val="en-US"/>
        </w:rPr>
        <w:t>Raab</w:t>
      </w:r>
      <w:proofErr w:type="spellEnd"/>
      <w:r>
        <w:rPr>
          <w:lang w:val="en-US"/>
        </w:rPr>
        <w:t xml:space="preserve">, University of Edinburgh, and Associate Professor Benjamin </w:t>
      </w:r>
      <w:proofErr w:type="spellStart"/>
      <w:r>
        <w:rPr>
          <w:lang w:val="en-US"/>
        </w:rPr>
        <w:t>Goold</w:t>
      </w:r>
      <w:proofErr w:type="spellEnd"/>
      <w:r>
        <w:rPr>
          <w:lang w:val="en-US"/>
        </w:rPr>
        <w:t>, University of British Columbia.</w:t>
      </w:r>
    </w:p>
  </w:footnote>
  <w:footnote w:id="2">
    <w:p w:rsidR="00972A13" w:rsidRPr="002B1AFC" w:rsidRDefault="00972A13">
      <w:pPr>
        <w:pStyle w:val="FootnoteText"/>
        <w:rPr>
          <w:lang w:val="en-US"/>
        </w:rPr>
      </w:pPr>
      <w:r w:rsidRPr="002B1AFC">
        <w:rPr>
          <w:rStyle w:val="FootnoteReference"/>
        </w:rPr>
        <w:footnoteRef/>
      </w:r>
      <w:r w:rsidRPr="002B1AFC">
        <w:t xml:space="preserve"> </w:t>
      </w:r>
      <w:r w:rsidRPr="002B1AFC">
        <w:rPr>
          <w:lang w:val="en-US"/>
        </w:rPr>
        <w:t xml:space="preserve">Raymond </w:t>
      </w:r>
      <w:proofErr w:type="spellStart"/>
      <w:r w:rsidRPr="002B1AFC">
        <w:rPr>
          <w:lang w:val="en-US"/>
        </w:rPr>
        <w:t>Wacks</w:t>
      </w:r>
      <w:proofErr w:type="spellEnd"/>
      <w:r w:rsidRPr="002B1AFC">
        <w:rPr>
          <w:lang w:val="en-US"/>
        </w:rPr>
        <w:t xml:space="preserve">, </w:t>
      </w:r>
      <w:r w:rsidRPr="008D41A1">
        <w:rPr>
          <w:i/>
          <w:lang w:val="en-US"/>
        </w:rPr>
        <w:t>Personal Information, Privacy and the Law</w:t>
      </w:r>
      <w:r w:rsidRPr="002B1AFC">
        <w:rPr>
          <w:lang w:val="en-US"/>
        </w:rPr>
        <w:t xml:space="preserve"> (Clarendon Press, London, 1993), p. 7. </w:t>
      </w:r>
    </w:p>
  </w:footnote>
  <w:footnote w:id="3">
    <w:p w:rsidR="00972A13" w:rsidRPr="002B1AFC" w:rsidRDefault="00972A13" w:rsidP="003B13F4">
      <w:pPr>
        <w:pStyle w:val="FootnoteText"/>
        <w:rPr>
          <w:lang w:val="en-US"/>
        </w:rPr>
      </w:pPr>
      <w:r w:rsidRPr="002B1AFC">
        <w:rPr>
          <w:rStyle w:val="FootnoteReference"/>
        </w:rPr>
        <w:footnoteRef/>
      </w:r>
      <w:r w:rsidRPr="002B1AFC">
        <w:t xml:space="preserve"> </w:t>
      </w:r>
      <w:proofErr w:type="spellStart"/>
      <w:r w:rsidRPr="002B1AFC">
        <w:t>Raab</w:t>
      </w:r>
      <w:proofErr w:type="spellEnd"/>
      <w:r w:rsidRPr="002B1AFC">
        <w:t xml:space="preserve"> and </w:t>
      </w:r>
      <w:proofErr w:type="spellStart"/>
      <w:r w:rsidRPr="002B1AFC">
        <w:t>Goold</w:t>
      </w:r>
      <w:proofErr w:type="spellEnd"/>
      <w:r w:rsidRPr="002B1AFC">
        <w:t xml:space="preserve">, </w:t>
      </w:r>
      <w:r w:rsidRPr="002B1AFC">
        <w:rPr>
          <w:i/>
        </w:rPr>
        <w:t>Protecting Individual Privacy</w:t>
      </w:r>
      <w:r w:rsidRPr="002B1AFC">
        <w:rPr>
          <w:iCs/>
          <w:lang w:eastAsia="en-GB"/>
        </w:rPr>
        <w:t xml:space="preserve"> </w:t>
      </w:r>
      <w:r>
        <w:rPr>
          <w:iCs/>
          <w:lang w:eastAsia="en-GB"/>
        </w:rPr>
        <w:t>(</w:t>
      </w:r>
      <w:r w:rsidRPr="002B1AFC">
        <w:rPr>
          <w:iCs/>
          <w:lang w:eastAsia="en-GB"/>
        </w:rPr>
        <w:t>Equality and Human Rights Commission Research Report 69</w:t>
      </w:r>
      <w:r>
        <w:rPr>
          <w:iCs/>
          <w:lang w:eastAsia="en-GB"/>
        </w:rPr>
        <w:t>, 2011)</w:t>
      </w:r>
      <w:r w:rsidRPr="002B1AFC">
        <w:rPr>
          <w:iCs/>
          <w:lang w:eastAsia="en-GB"/>
        </w:rPr>
        <w:t>, p</w:t>
      </w:r>
      <w:r>
        <w:rPr>
          <w:iCs/>
          <w:lang w:eastAsia="en-GB"/>
        </w:rPr>
        <w:t>p</w:t>
      </w:r>
      <w:r w:rsidRPr="002B1AFC">
        <w:rPr>
          <w:iCs/>
          <w:lang w:eastAsia="en-GB"/>
        </w:rPr>
        <w:t>. 15</w:t>
      </w:r>
      <w:r>
        <w:rPr>
          <w:iCs/>
          <w:lang w:eastAsia="en-GB"/>
        </w:rPr>
        <w:t>-18</w:t>
      </w:r>
      <w:r w:rsidRPr="002B1AFC">
        <w:rPr>
          <w:iCs/>
          <w:lang w:eastAsia="en-GB"/>
        </w:rPr>
        <w:t>.</w:t>
      </w:r>
    </w:p>
  </w:footnote>
  <w:footnote w:id="4">
    <w:p w:rsidR="00972A13" w:rsidRPr="002B1AFC" w:rsidRDefault="00972A13">
      <w:pPr>
        <w:pStyle w:val="FootnoteText"/>
        <w:rPr>
          <w:lang w:val="en-US"/>
        </w:rPr>
      </w:pPr>
      <w:r w:rsidRPr="002B1AFC">
        <w:rPr>
          <w:rStyle w:val="FootnoteReference"/>
        </w:rPr>
        <w:footnoteRef/>
      </w:r>
      <w:r w:rsidRPr="002B1AFC">
        <w:t xml:space="preserve"> </w:t>
      </w:r>
      <w:proofErr w:type="spellStart"/>
      <w:r w:rsidRPr="002B1AFC">
        <w:t>Raab</w:t>
      </w:r>
      <w:proofErr w:type="spellEnd"/>
      <w:r w:rsidRPr="002B1AFC">
        <w:t xml:space="preserve"> and </w:t>
      </w:r>
      <w:proofErr w:type="spellStart"/>
      <w:r w:rsidRPr="002B1AFC">
        <w:t>Goold</w:t>
      </w:r>
      <w:proofErr w:type="spellEnd"/>
      <w:r w:rsidRPr="002B1AFC">
        <w:t xml:space="preserve">, </w:t>
      </w:r>
      <w:r w:rsidRPr="008D41A1">
        <w:rPr>
          <w:i/>
        </w:rPr>
        <w:t>Protecting Individual Privacy</w:t>
      </w:r>
      <w:r w:rsidRPr="008D41A1">
        <w:rPr>
          <w:iCs/>
          <w:lang w:eastAsia="en-GB"/>
        </w:rPr>
        <w:t xml:space="preserve"> </w:t>
      </w:r>
      <w:r>
        <w:rPr>
          <w:iCs/>
          <w:lang w:eastAsia="en-GB"/>
        </w:rPr>
        <w:t>(</w:t>
      </w:r>
      <w:r w:rsidRPr="008D41A1">
        <w:rPr>
          <w:iCs/>
          <w:lang w:eastAsia="en-GB"/>
        </w:rPr>
        <w:t>Equality and Human Rights Commission Research Report 69</w:t>
      </w:r>
      <w:r>
        <w:rPr>
          <w:iCs/>
          <w:lang w:eastAsia="en-GB"/>
        </w:rPr>
        <w:t>, 2011)</w:t>
      </w:r>
      <w:r w:rsidRPr="008D41A1">
        <w:rPr>
          <w:iCs/>
          <w:lang w:eastAsia="en-GB"/>
        </w:rPr>
        <w:t>, p. 15.</w:t>
      </w:r>
    </w:p>
  </w:footnote>
  <w:footnote w:id="5">
    <w:p w:rsidR="00972A13" w:rsidRPr="007558F5" w:rsidRDefault="00972A13" w:rsidP="00580684">
      <w:pPr>
        <w:pStyle w:val="FootnoteText"/>
        <w:rPr>
          <w:lang w:val="en-US"/>
        </w:rPr>
      </w:pPr>
      <w:r>
        <w:rPr>
          <w:rStyle w:val="FootnoteReference"/>
        </w:rPr>
        <w:footnoteRef/>
      </w:r>
      <w:r>
        <w:t xml:space="preserve"> Sir Nicholas </w:t>
      </w:r>
      <w:proofErr w:type="spellStart"/>
      <w:r>
        <w:t>Bratza</w:t>
      </w:r>
      <w:proofErr w:type="spellEnd"/>
      <w:r>
        <w:t xml:space="preserve">, ‘The Best Interests of the Child in the Recent Case-Law of the European Court of Human Rights,’ Franco-British-Irish </w:t>
      </w:r>
      <w:proofErr w:type="spellStart"/>
      <w:r>
        <w:t>Colloque</w:t>
      </w:r>
      <w:proofErr w:type="spellEnd"/>
      <w:r>
        <w:t xml:space="preserve"> on family law (Dublin), 14</w:t>
      </w:r>
      <w:r w:rsidRPr="00741654">
        <w:rPr>
          <w:vertAlign w:val="superscript"/>
        </w:rPr>
        <w:t>th</w:t>
      </w:r>
      <w:r>
        <w:t xml:space="preserve"> May 2011, p. 2.</w:t>
      </w:r>
    </w:p>
  </w:footnote>
  <w:footnote w:id="6">
    <w:p w:rsidR="00972A13" w:rsidRPr="007558F5" w:rsidRDefault="00972A13" w:rsidP="00580684">
      <w:pPr>
        <w:pStyle w:val="FootnoteText"/>
        <w:rPr>
          <w:lang w:val="en-US"/>
        </w:rPr>
      </w:pPr>
      <w:r>
        <w:rPr>
          <w:rStyle w:val="FootnoteReference"/>
        </w:rPr>
        <w:footnoteRef/>
      </w:r>
      <w:r>
        <w:t xml:space="preserve"> </w:t>
      </w:r>
      <w:r>
        <w:rPr>
          <w:lang w:val="en-US"/>
        </w:rPr>
        <w:t>Proclaimed at Nice, December 2000.</w:t>
      </w:r>
    </w:p>
  </w:footnote>
  <w:footnote w:id="7">
    <w:p w:rsidR="00972A13" w:rsidRPr="000E1440" w:rsidRDefault="00972A13" w:rsidP="00580684">
      <w:pPr>
        <w:pStyle w:val="FootnoteText"/>
        <w:rPr>
          <w:lang w:val="en-US"/>
        </w:rPr>
      </w:pPr>
      <w:r w:rsidRPr="000E1440">
        <w:rPr>
          <w:rStyle w:val="FootnoteReference"/>
        </w:rPr>
        <w:footnoteRef/>
      </w:r>
      <w:r w:rsidRPr="000E1440">
        <w:t xml:space="preserve"> [2010] EWHC 2397</w:t>
      </w:r>
      <w:r>
        <w:t xml:space="preserve">, </w:t>
      </w:r>
      <w:proofErr w:type="spellStart"/>
      <w:r>
        <w:t>para</w:t>
      </w:r>
      <w:proofErr w:type="spellEnd"/>
      <w:r>
        <w:t>. 83</w:t>
      </w:r>
      <w:r w:rsidRPr="000E144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024"/>
    <w:multiLevelType w:val="multilevel"/>
    <w:tmpl w:val="AAD8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00787"/>
    <w:multiLevelType w:val="hybridMultilevel"/>
    <w:tmpl w:val="E8DE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82ECA"/>
    <w:multiLevelType w:val="hybridMultilevel"/>
    <w:tmpl w:val="E7D69EF0"/>
    <w:lvl w:ilvl="0" w:tplc="689483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1D415A"/>
    <w:multiLevelType w:val="multilevel"/>
    <w:tmpl w:val="B8482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213C0"/>
    <w:multiLevelType w:val="hybridMultilevel"/>
    <w:tmpl w:val="B7EC4F94"/>
    <w:lvl w:ilvl="0" w:tplc="3DA0A8F2">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1F9E2A35"/>
    <w:multiLevelType w:val="multilevel"/>
    <w:tmpl w:val="D63C617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130DAD"/>
    <w:multiLevelType w:val="multilevel"/>
    <w:tmpl w:val="5A004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8)"/>
      <w:lvlJc w:val="left"/>
      <w:pPr>
        <w:ind w:left="1440" w:hanging="1440"/>
      </w:pPr>
      <w:rPr>
        <w:rFonts w:ascii="Times New Roman" w:eastAsia="Times New Roman" w:hAnsi="Times New Roman" w:cs="Times New Roman"/>
      </w:rPr>
    </w:lvl>
    <w:lvl w:ilvl="8">
      <w:start w:val="1"/>
      <w:numFmt w:val="decimal"/>
      <w:lvlText w:val="%1.%2.%3.%4.%5.%6.%7.%8.%9"/>
      <w:lvlJc w:val="left"/>
      <w:pPr>
        <w:ind w:left="1440" w:hanging="1440"/>
      </w:pPr>
      <w:rPr>
        <w:rFonts w:hint="default"/>
      </w:rPr>
    </w:lvl>
  </w:abstractNum>
  <w:abstractNum w:abstractNumId="7">
    <w:nsid w:val="27797CBB"/>
    <w:multiLevelType w:val="hybridMultilevel"/>
    <w:tmpl w:val="3A763784"/>
    <w:lvl w:ilvl="0" w:tplc="25A23EC4">
      <w:start w:val="3"/>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2C310FD4"/>
    <w:multiLevelType w:val="multilevel"/>
    <w:tmpl w:val="C5B0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4D0B81"/>
    <w:multiLevelType w:val="multilevel"/>
    <w:tmpl w:val="197E41F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nsid w:val="2EBF2439"/>
    <w:multiLevelType w:val="hybridMultilevel"/>
    <w:tmpl w:val="33B4DAD6"/>
    <w:lvl w:ilvl="0" w:tplc="0054104E">
      <w:start w:val="1"/>
      <w:numFmt w:val="decimal"/>
      <w:pStyle w:val="Heading2"/>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EFB0360"/>
    <w:multiLevelType w:val="multilevel"/>
    <w:tmpl w:val="5CFEF58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nsid w:val="31026251"/>
    <w:multiLevelType w:val="multilevel"/>
    <w:tmpl w:val="22C2C13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
    <w:nsid w:val="3FDA49D9"/>
    <w:multiLevelType w:val="hybridMultilevel"/>
    <w:tmpl w:val="B282AAE8"/>
    <w:lvl w:ilvl="0" w:tplc="F12CE50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1C609E9"/>
    <w:multiLevelType w:val="multilevel"/>
    <w:tmpl w:val="B7EE9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69727D"/>
    <w:multiLevelType w:val="hybridMultilevel"/>
    <w:tmpl w:val="33220C48"/>
    <w:lvl w:ilvl="0" w:tplc="1B38B2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88A237A"/>
    <w:multiLevelType w:val="hybridMultilevel"/>
    <w:tmpl w:val="5288BA8A"/>
    <w:lvl w:ilvl="0" w:tplc="328ED0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FBB7A29"/>
    <w:multiLevelType w:val="multilevel"/>
    <w:tmpl w:val="D0A86E22"/>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nsid w:val="547E1FB6"/>
    <w:multiLevelType w:val="hybridMultilevel"/>
    <w:tmpl w:val="32C07A6A"/>
    <w:lvl w:ilvl="0" w:tplc="22428486">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F8792A"/>
    <w:multiLevelType w:val="multilevel"/>
    <w:tmpl w:val="0F1CEB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90850BD"/>
    <w:multiLevelType w:val="hybridMultilevel"/>
    <w:tmpl w:val="7C74E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59E314C4"/>
    <w:multiLevelType w:val="multilevel"/>
    <w:tmpl w:val="197E41F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0D4EDA"/>
    <w:multiLevelType w:val="multilevel"/>
    <w:tmpl w:val="9914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767FB0"/>
    <w:multiLevelType w:val="multilevel"/>
    <w:tmpl w:val="87E25ED6"/>
    <w:lvl w:ilvl="0">
      <w:start w:val="1"/>
      <w:numFmt w:val="decimal"/>
      <w:lvlText w:val="%1."/>
      <w:lvlJc w:val="left"/>
      <w:pPr>
        <w:ind w:left="720" w:hanging="360"/>
      </w:pPr>
      <w:rPr>
        <w:rFonts w:cs="Times New Roman" w:hint="default"/>
      </w:rPr>
    </w:lvl>
    <w:lvl w:ilvl="1">
      <w:start w:val="1"/>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nsid w:val="67DD4B6D"/>
    <w:multiLevelType w:val="multilevel"/>
    <w:tmpl w:val="D610B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9CC7931"/>
    <w:multiLevelType w:val="hybridMultilevel"/>
    <w:tmpl w:val="6D70051C"/>
    <w:lvl w:ilvl="0" w:tplc="D6DEA4E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1046FA8"/>
    <w:multiLevelType w:val="hybridMultilevel"/>
    <w:tmpl w:val="88CA1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8667E3"/>
    <w:multiLevelType w:val="hybridMultilevel"/>
    <w:tmpl w:val="10DC28E0"/>
    <w:lvl w:ilvl="0" w:tplc="94A61F16">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75D70B9F"/>
    <w:multiLevelType w:val="multilevel"/>
    <w:tmpl w:val="672A225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decimal"/>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30">
    <w:nsid w:val="76A56390"/>
    <w:multiLevelType w:val="multilevel"/>
    <w:tmpl w:val="92CE7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9487F76"/>
    <w:multiLevelType w:val="hybridMultilevel"/>
    <w:tmpl w:val="C72A40E6"/>
    <w:lvl w:ilvl="0" w:tplc="4976842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F634930"/>
    <w:multiLevelType w:val="multilevel"/>
    <w:tmpl w:val="197E41F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num w:numId="1">
    <w:abstractNumId w:val="27"/>
  </w:num>
  <w:num w:numId="2">
    <w:abstractNumId w:val="21"/>
  </w:num>
  <w:num w:numId="3">
    <w:abstractNumId w:val="19"/>
  </w:num>
  <w:num w:numId="4">
    <w:abstractNumId w:val="14"/>
  </w:num>
  <w:num w:numId="5">
    <w:abstractNumId w:val="5"/>
  </w:num>
  <w:num w:numId="6">
    <w:abstractNumId w:val="12"/>
  </w:num>
  <w:num w:numId="7">
    <w:abstractNumId w:val="18"/>
  </w:num>
  <w:num w:numId="8">
    <w:abstractNumId w:val="24"/>
  </w:num>
  <w:num w:numId="9">
    <w:abstractNumId w:val="2"/>
  </w:num>
  <w:num w:numId="10">
    <w:abstractNumId w:val="15"/>
  </w:num>
  <w:num w:numId="11">
    <w:abstractNumId w:val="26"/>
  </w:num>
  <w:num w:numId="12">
    <w:abstractNumId w:val="3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2"/>
  </w:num>
  <w:num w:numId="16">
    <w:abstractNumId w:val="13"/>
  </w:num>
  <w:num w:numId="17">
    <w:abstractNumId w:val="10"/>
  </w:num>
  <w:num w:numId="18">
    <w:abstractNumId w:val="32"/>
  </w:num>
  <w:num w:numId="19">
    <w:abstractNumId w:val="7"/>
  </w:num>
  <w:num w:numId="20">
    <w:abstractNumId w:val="9"/>
  </w:num>
  <w:num w:numId="2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4"/>
  </w:num>
  <w:num w:numId="26">
    <w:abstractNumId w:val="1"/>
  </w:num>
  <w:num w:numId="27">
    <w:abstractNumId w:val="0"/>
  </w:num>
  <w:num w:numId="28">
    <w:abstractNumId w:val="8"/>
  </w:num>
  <w:num w:numId="29">
    <w:abstractNumId w:val="23"/>
    <w:lvlOverride w:ilvl="0">
      <w:startOverride w:val="29"/>
    </w:lvlOverride>
  </w:num>
  <w:num w:numId="30">
    <w:abstractNumId w:val="23"/>
    <w:lvlOverride w:ilvl="0">
      <w:startOverride w:val="30"/>
    </w:lvlOverride>
  </w:num>
  <w:num w:numId="31">
    <w:abstractNumId w:val="29"/>
  </w:num>
  <w:num w:numId="32">
    <w:abstractNumId w:val="25"/>
  </w:num>
  <w:num w:numId="33">
    <w:abstractNumId w:val="30"/>
  </w:num>
  <w:num w:numId="34">
    <w:abstractNumId w:val="3"/>
    <w:lvlOverride w:ilvl="0">
      <w:startOverride w:val="21"/>
    </w:lvlOverride>
  </w:num>
  <w:num w:numId="35">
    <w:abstractNumId w:val="3"/>
    <w:lvlOverride w:ilvl="0">
      <w:startOverride w:val="22"/>
    </w:lvlOverride>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30164"/>
    <w:rsid w:val="00001BA6"/>
    <w:rsid w:val="00003F72"/>
    <w:rsid w:val="000150A7"/>
    <w:rsid w:val="00015D57"/>
    <w:rsid w:val="000167B9"/>
    <w:rsid w:val="00021845"/>
    <w:rsid w:val="00033251"/>
    <w:rsid w:val="00035E3B"/>
    <w:rsid w:val="000363DF"/>
    <w:rsid w:val="000558FB"/>
    <w:rsid w:val="00062855"/>
    <w:rsid w:val="000637C0"/>
    <w:rsid w:val="00092C3D"/>
    <w:rsid w:val="00094BC8"/>
    <w:rsid w:val="000955FC"/>
    <w:rsid w:val="0009621E"/>
    <w:rsid w:val="000A47F4"/>
    <w:rsid w:val="000A5E17"/>
    <w:rsid w:val="000B6896"/>
    <w:rsid w:val="000C4CA5"/>
    <w:rsid w:val="000D4259"/>
    <w:rsid w:val="000E4D27"/>
    <w:rsid w:val="000E79ED"/>
    <w:rsid w:val="00145F4E"/>
    <w:rsid w:val="00151185"/>
    <w:rsid w:val="0015172F"/>
    <w:rsid w:val="00166867"/>
    <w:rsid w:val="00172BE7"/>
    <w:rsid w:val="00174FB1"/>
    <w:rsid w:val="001758EF"/>
    <w:rsid w:val="00185196"/>
    <w:rsid w:val="00192599"/>
    <w:rsid w:val="001A0F64"/>
    <w:rsid w:val="001A3AAB"/>
    <w:rsid w:val="001C450D"/>
    <w:rsid w:val="001D7DBA"/>
    <w:rsid w:val="001E2C2A"/>
    <w:rsid w:val="001E36C6"/>
    <w:rsid w:val="001E4895"/>
    <w:rsid w:val="001F0B8A"/>
    <w:rsid w:val="001F29F3"/>
    <w:rsid w:val="001F636C"/>
    <w:rsid w:val="002010C1"/>
    <w:rsid w:val="002014D9"/>
    <w:rsid w:val="00214142"/>
    <w:rsid w:val="00231F58"/>
    <w:rsid w:val="00232104"/>
    <w:rsid w:val="00252630"/>
    <w:rsid w:val="00253421"/>
    <w:rsid w:val="00257F7D"/>
    <w:rsid w:val="00260812"/>
    <w:rsid w:val="0026450A"/>
    <w:rsid w:val="00273604"/>
    <w:rsid w:val="00275E5C"/>
    <w:rsid w:val="002807CA"/>
    <w:rsid w:val="00280FF4"/>
    <w:rsid w:val="00284706"/>
    <w:rsid w:val="002A3A4E"/>
    <w:rsid w:val="002B1AFC"/>
    <w:rsid w:val="002C4984"/>
    <w:rsid w:val="002C5371"/>
    <w:rsid w:val="002D04F8"/>
    <w:rsid w:val="002D31C4"/>
    <w:rsid w:val="002F3D11"/>
    <w:rsid w:val="002F5974"/>
    <w:rsid w:val="00304C3B"/>
    <w:rsid w:val="00316DC1"/>
    <w:rsid w:val="00316DCE"/>
    <w:rsid w:val="00325741"/>
    <w:rsid w:val="00326A96"/>
    <w:rsid w:val="003319B3"/>
    <w:rsid w:val="00346C42"/>
    <w:rsid w:val="003524ED"/>
    <w:rsid w:val="00360567"/>
    <w:rsid w:val="003612F1"/>
    <w:rsid w:val="003614E1"/>
    <w:rsid w:val="003814D1"/>
    <w:rsid w:val="003A1900"/>
    <w:rsid w:val="003B13F4"/>
    <w:rsid w:val="003B3C35"/>
    <w:rsid w:val="003D4333"/>
    <w:rsid w:val="003D4B82"/>
    <w:rsid w:val="003D7C5A"/>
    <w:rsid w:val="003F482C"/>
    <w:rsid w:val="003F61F2"/>
    <w:rsid w:val="00400460"/>
    <w:rsid w:val="00407BDF"/>
    <w:rsid w:val="00414CCB"/>
    <w:rsid w:val="00433085"/>
    <w:rsid w:val="0043315E"/>
    <w:rsid w:val="00440DEC"/>
    <w:rsid w:val="00441F91"/>
    <w:rsid w:val="004474A7"/>
    <w:rsid w:val="00455EFF"/>
    <w:rsid w:val="004568F4"/>
    <w:rsid w:val="0048020E"/>
    <w:rsid w:val="004853C1"/>
    <w:rsid w:val="00487E1B"/>
    <w:rsid w:val="0049120F"/>
    <w:rsid w:val="004B171F"/>
    <w:rsid w:val="004C015A"/>
    <w:rsid w:val="004C303A"/>
    <w:rsid w:val="004D5274"/>
    <w:rsid w:val="004F6D1A"/>
    <w:rsid w:val="004F6F19"/>
    <w:rsid w:val="004F7F0B"/>
    <w:rsid w:val="00514334"/>
    <w:rsid w:val="00522163"/>
    <w:rsid w:val="00522EDE"/>
    <w:rsid w:val="005328EB"/>
    <w:rsid w:val="00550DF3"/>
    <w:rsid w:val="00555002"/>
    <w:rsid w:val="0056380B"/>
    <w:rsid w:val="00580684"/>
    <w:rsid w:val="0058263E"/>
    <w:rsid w:val="005840D1"/>
    <w:rsid w:val="005A795C"/>
    <w:rsid w:val="005B6CE9"/>
    <w:rsid w:val="005C118A"/>
    <w:rsid w:val="005D54FA"/>
    <w:rsid w:val="005D5E82"/>
    <w:rsid w:val="005F1F44"/>
    <w:rsid w:val="005F3C8B"/>
    <w:rsid w:val="0060541B"/>
    <w:rsid w:val="00612C89"/>
    <w:rsid w:val="0062761A"/>
    <w:rsid w:val="006333D2"/>
    <w:rsid w:val="006411BF"/>
    <w:rsid w:val="00643EA3"/>
    <w:rsid w:val="0065321E"/>
    <w:rsid w:val="0067415B"/>
    <w:rsid w:val="006916BE"/>
    <w:rsid w:val="00696FCD"/>
    <w:rsid w:val="006A1678"/>
    <w:rsid w:val="006A4614"/>
    <w:rsid w:val="006A6EA5"/>
    <w:rsid w:val="006B35E5"/>
    <w:rsid w:val="006D00F5"/>
    <w:rsid w:val="006D1477"/>
    <w:rsid w:val="006D420C"/>
    <w:rsid w:val="006F2698"/>
    <w:rsid w:val="006F3010"/>
    <w:rsid w:val="00700C27"/>
    <w:rsid w:val="00701226"/>
    <w:rsid w:val="00701A72"/>
    <w:rsid w:val="00701F0A"/>
    <w:rsid w:val="00702AE4"/>
    <w:rsid w:val="00706AD0"/>
    <w:rsid w:val="00714383"/>
    <w:rsid w:val="0072489E"/>
    <w:rsid w:val="00734764"/>
    <w:rsid w:val="00734896"/>
    <w:rsid w:val="00744911"/>
    <w:rsid w:val="00763279"/>
    <w:rsid w:val="00775295"/>
    <w:rsid w:val="007820D0"/>
    <w:rsid w:val="00783091"/>
    <w:rsid w:val="00796D13"/>
    <w:rsid w:val="0079732C"/>
    <w:rsid w:val="007A328B"/>
    <w:rsid w:val="007A3A61"/>
    <w:rsid w:val="007B0ADA"/>
    <w:rsid w:val="007B4593"/>
    <w:rsid w:val="007C0E1E"/>
    <w:rsid w:val="007C3BD2"/>
    <w:rsid w:val="007C669B"/>
    <w:rsid w:val="007E4635"/>
    <w:rsid w:val="007E6C89"/>
    <w:rsid w:val="007F0126"/>
    <w:rsid w:val="007F0A88"/>
    <w:rsid w:val="007F1736"/>
    <w:rsid w:val="007F50F6"/>
    <w:rsid w:val="008114FF"/>
    <w:rsid w:val="008251D3"/>
    <w:rsid w:val="008475FE"/>
    <w:rsid w:val="008610C2"/>
    <w:rsid w:val="00863C51"/>
    <w:rsid w:val="00872DCA"/>
    <w:rsid w:val="00894E51"/>
    <w:rsid w:val="008A2376"/>
    <w:rsid w:val="008A4375"/>
    <w:rsid w:val="008B3BF1"/>
    <w:rsid w:val="008B5DC9"/>
    <w:rsid w:val="008B6179"/>
    <w:rsid w:val="008B6369"/>
    <w:rsid w:val="008C18FD"/>
    <w:rsid w:val="008C7DDD"/>
    <w:rsid w:val="008D41A1"/>
    <w:rsid w:val="008D755B"/>
    <w:rsid w:val="008E0F78"/>
    <w:rsid w:val="008E74F3"/>
    <w:rsid w:val="008F1D06"/>
    <w:rsid w:val="008F69D0"/>
    <w:rsid w:val="00915DCC"/>
    <w:rsid w:val="0092284E"/>
    <w:rsid w:val="0093602D"/>
    <w:rsid w:val="00940B49"/>
    <w:rsid w:val="00962B4B"/>
    <w:rsid w:val="00972A13"/>
    <w:rsid w:val="009743D0"/>
    <w:rsid w:val="00981C73"/>
    <w:rsid w:val="009821E7"/>
    <w:rsid w:val="009A030F"/>
    <w:rsid w:val="009A3744"/>
    <w:rsid w:val="009B0D65"/>
    <w:rsid w:val="009B5949"/>
    <w:rsid w:val="009B59CE"/>
    <w:rsid w:val="009F0EE5"/>
    <w:rsid w:val="009F43B5"/>
    <w:rsid w:val="009F7EB8"/>
    <w:rsid w:val="00A002B2"/>
    <w:rsid w:val="00A044BF"/>
    <w:rsid w:val="00A14DF2"/>
    <w:rsid w:val="00A31B13"/>
    <w:rsid w:val="00A36FFB"/>
    <w:rsid w:val="00A37FAE"/>
    <w:rsid w:val="00A40457"/>
    <w:rsid w:val="00A56ED5"/>
    <w:rsid w:val="00A63901"/>
    <w:rsid w:val="00A6769A"/>
    <w:rsid w:val="00A749D9"/>
    <w:rsid w:val="00A75E09"/>
    <w:rsid w:val="00AA31A3"/>
    <w:rsid w:val="00AA6F41"/>
    <w:rsid w:val="00AB3C04"/>
    <w:rsid w:val="00AB5CA7"/>
    <w:rsid w:val="00AB666F"/>
    <w:rsid w:val="00AB6A4A"/>
    <w:rsid w:val="00AB6F7C"/>
    <w:rsid w:val="00AB7783"/>
    <w:rsid w:val="00AC38B4"/>
    <w:rsid w:val="00AE4633"/>
    <w:rsid w:val="00AF396C"/>
    <w:rsid w:val="00B0147D"/>
    <w:rsid w:val="00B022EE"/>
    <w:rsid w:val="00B14B48"/>
    <w:rsid w:val="00B37FA8"/>
    <w:rsid w:val="00B438D0"/>
    <w:rsid w:val="00B44B43"/>
    <w:rsid w:val="00B619CF"/>
    <w:rsid w:val="00B804EC"/>
    <w:rsid w:val="00B81992"/>
    <w:rsid w:val="00B82DEE"/>
    <w:rsid w:val="00B845B4"/>
    <w:rsid w:val="00BA1A0E"/>
    <w:rsid w:val="00BA532D"/>
    <w:rsid w:val="00BC18C6"/>
    <w:rsid w:val="00BC3C48"/>
    <w:rsid w:val="00BD3B15"/>
    <w:rsid w:val="00BD5B13"/>
    <w:rsid w:val="00BF1BE9"/>
    <w:rsid w:val="00C008DD"/>
    <w:rsid w:val="00C0323C"/>
    <w:rsid w:val="00C0521F"/>
    <w:rsid w:val="00C2607D"/>
    <w:rsid w:val="00C30164"/>
    <w:rsid w:val="00C43E1C"/>
    <w:rsid w:val="00C63BB6"/>
    <w:rsid w:val="00C72050"/>
    <w:rsid w:val="00C86DE5"/>
    <w:rsid w:val="00C9244E"/>
    <w:rsid w:val="00C97536"/>
    <w:rsid w:val="00CB2D4E"/>
    <w:rsid w:val="00CB2F42"/>
    <w:rsid w:val="00CC387C"/>
    <w:rsid w:val="00CF7E13"/>
    <w:rsid w:val="00D02F03"/>
    <w:rsid w:val="00D033FA"/>
    <w:rsid w:val="00D07A57"/>
    <w:rsid w:val="00D24A9D"/>
    <w:rsid w:val="00D26220"/>
    <w:rsid w:val="00D364C6"/>
    <w:rsid w:val="00D37F2A"/>
    <w:rsid w:val="00D40297"/>
    <w:rsid w:val="00D44C39"/>
    <w:rsid w:val="00D50DE0"/>
    <w:rsid w:val="00D57DA9"/>
    <w:rsid w:val="00D937F6"/>
    <w:rsid w:val="00D9750D"/>
    <w:rsid w:val="00DA14C6"/>
    <w:rsid w:val="00DA5B17"/>
    <w:rsid w:val="00DC0F68"/>
    <w:rsid w:val="00DC4C91"/>
    <w:rsid w:val="00DD0092"/>
    <w:rsid w:val="00DD2A87"/>
    <w:rsid w:val="00DE26E8"/>
    <w:rsid w:val="00DE560B"/>
    <w:rsid w:val="00E12AC4"/>
    <w:rsid w:val="00E15655"/>
    <w:rsid w:val="00E20638"/>
    <w:rsid w:val="00E26461"/>
    <w:rsid w:val="00E342EB"/>
    <w:rsid w:val="00E35706"/>
    <w:rsid w:val="00E36798"/>
    <w:rsid w:val="00E45F36"/>
    <w:rsid w:val="00E55BED"/>
    <w:rsid w:val="00E57AEE"/>
    <w:rsid w:val="00E61C1B"/>
    <w:rsid w:val="00E63019"/>
    <w:rsid w:val="00E669F5"/>
    <w:rsid w:val="00E7047D"/>
    <w:rsid w:val="00E70DB4"/>
    <w:rsid w:val="00E72176"/>
    <w:rsid w:val="00E806E6"/>
    <w:rsid w:val="00E9688F"/>
    <w:rsid w:val="00EB04E5"/>
    <w:rsid w:val="00EB23FE"/>
    <w:rsid w:val="00EB302D"/>
    <w:rsid w:val="00EC23B8"/>
    <w:rsid w:val="00EC3BD2"/>
    <w:rsid w:val="00EC53D5"/>
    <w:rsid w:val="00EC7529"/>
    <w:rsid w:val="00EE5B9E"/>
    <w:rsid w:val="00EF7504"/>
    <w:rsid w:val="00F00CD2"/>
    <w:rsid w:val="00F019F7"/>
    <w:rsid w:val="00F13735"/>
    <w:rsid w:val="00F23992"/>
    <w:rsid w:val="00F658B8"/>
    <w:rsid w:val="00F6603B"/>
    <w:rsid w:val="00F76D73"/>
    <w:rsid w:val="00F80B55"/>
    <w:rsid w:val="00F81752"/>
    <w:rsid w:val="00F913D2"/>
    <w:rsid w:val="00F93A64"/>
    <w:rsid w:val="00FA20B7"/>
    <w:rsid w:val="00FA33B2"/>
    <w:rsid w:val="00FB05D4"/>
    <w:rsid w:val="00FB0DBA"/>
    <w:rsid w:val="00FB194E"/>
    <w:rsid w:val="00FB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64"/>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B0147D"/>
    <w:pPr>
      <w:numPr>
        <w:numId w:val="17"/>
      </w:numPr>
      <w:outlineLvl w:val="1"/>
    </w:pPr>
    <w:rPr>
      <w:rFonts w:ascii="Arial" w:eastAsia="Calibri" w:hAnsi="Arial" w:cs="Arial"/>
      <w:b/>
      <w:color w:val="000000"/>
      <w:sz w:val="28"/>
      <w:szCs w:val="28"/>
    </w:rPr>
  </w:style>
  <w:style w:type="paragraph" w:styleId="Heading3">
    <w:name w:val="heading 3"/>
    <w:basedOn w:val="Normal"/>
    <w:next w:val="Normal"/>
    <w:link w:val="Heading3Char"/>
    <w:uiPriority w:val="9"/>
    <w:semiHidden/>
    <w:unhideWhenUsed/>
    <w:qFormat/>
    <w:rsid w:val="008F1D0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85"/>
    <w:pPr>
      <w:ind w:left="720"/>
      <w:contextualSpacing/>
    </w:pPr>
  </w:style>
  <w:style w:type="paragraph" w:styleId="Header">
    <w:name w:val="header"/>
    <w:basedOn w:val="Normal"/>
    <w:link w:val="HeaderChar"/>
    <w:uiPriority w:val="99"/>
    <w:semiHidden/>
    <w:unhideWhenUsed/>
    <w:rsid w:val="000637C0"/>
    <w:pPr>
      <w:tabs>
        <w:tab w:val="center" w:pos="4680"/>
        <w:tab w:val="right" w:pos="9360"/>
      </w:tabs>
    </w:pPr>
  </w:style>
  <w:style w:type="character" w:customStyle="1" w:styleId="HeaderChar">
    <w:name w:val="Header Char"/>
    <w:basedOn w:val="DefaultParagraphFont"/>
    <w:link w:val="Header"/>
    <w:uiPriority w:val="99"/>
    <w:semiHidden/>
    <w:rsid w:val="000637C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637C0"/>
    <w:pPr>
      <w:tabs>
        <w:tab w:val="center" w:pos="4680"/>
        <w:tab w:val="right" w:pos="9360"/>
      </w:tabs>
    </w:pPr>
  </w:style>
  <w:style w:type="character" w:customStyle="1" w:styleId="FooterChar">
    <w:name w:val="Footer Char"/>
    <w:basedOn w:val="DefaultParagraphFont"/>
    <w:link w:val="Footer"/>
    <w:uiPriority w:val="99"/>
    <w:rsid w:val="000637C0"/>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8C7DDD"/>
    <w:pPr>
      <w:spacing w:before="60" w:after="90" w:line="240" w:lineRule="atLeast"/>
    </w:pPr>
    <w:rPr>
      <w:spacing w:val="8"/>
      <w:sz w:val="18"/>
      <w:szCs w:val="18"/>
      <w:lang w:val="en-US"/>
    </w:rPr>
  </w:style>
  <w:style w:type="paragraph" w:styleId="FootnoteText">
    <w:name w:val="footnote text"/>
    <w:aliases w:val=" Char Char Char Char, Char"/>
    <w:basedOn w:val="Normal"/>
    <w:link w:val="FootnoteTextChar"/>
    <w:unhideWhenUsed/>
    <w:rsid w:val="00455EFF"/>
    <w:rPr>
      <w:sz w:val="20"/>
      <w:szCs w:val="20"/>
    </w:rPr>
  </w:style>
  <w:style w:type="character" w:customStyle="1" w:styleId="FootnoteTextChar">
    <w:name w:val="Footnote Text Char"/>
    <w:aliases w:val=" Char Char Char Char Char, Char Char"/>
    <w:basedOn w:val="DefaultParagraphFont"/>
    <w:link w:val="FootnoteText"/>
    <w:rsid w:val="00455EFF"/>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qFormat/>
    <w:rsid w:val="00455EFF"/>
    <w:rPr>
      <w:vertAlign w:val="superscript"/>
    </w:rPr>
  </w:style>
  <w:style w:type="character" w:styleId="Hyperlink">
    <w:name w:val="Hyperlink"/>
    <w:basedOn w:val="DefaultParagraphFont"/>
    <w:uiPriority w:val="99"/>
    <w:semiHidden/>
    <w:unhideWhenUsed/>
    <w:rsid w:val="00346C42"/>
    <w:rPr>
      <w:color w:val="0000FF"/>
      <w:u w:val="single"/>
    </w:rPr>
  </w:style>
  <w:style w:type="paragraph" w:styleId="NoSpacing">
    <w:name w:val="No Spacing"/>
    <w:uiPriority w:val="1"/>
    <w:rsid w:val="005B6CE9"/>
    <w:pPr>
      <w:spacing w:after="0" w:line="240" w:lineRule="auto"/>
    </w:pPr>
    <w:rPr>
      <w:rFonts w:ascii="Arial" w:eastAsia="Calibri" w:hAnsi="Arial" w:cs="Times New Roman"/>
      <w:sz w:val="24"/>
      <w:lang w:val="en-GB"/>
    </w:rPr>
  </w:style>
  <w:style w:type="character" w:customStyle="1" w:styleId="Heading2Char">
    <w:name w:val="Heading 2 Char"/>
    <w:basedOn w:val="DefaultParagraphFont"/>
    <w:link w:val="Heading2"/>
    <w:uiPriority w:val="9"/>
    <w:rsid w:val="00B0147D"/>
    <w:rPr>
      <w:rFonts w:ascii="Arial" w:eastAsia="Calibri" w:hAnsi="Arial" w:cs="Arial"/>
      <w:b/>
      <w:color w:val="000000"/>
      <w:sz w:val="28"/>
      <w:szCs w:val="28"/>
      <w:lang w:val="en-GB"/>
    </w:rPr>
  </w:style>
  <w:style w:type="paragraph" w:customStyle="1" w:styleId="Proclaim">
    <w:name w:val="Proclaim"/>
    <w:basedOn w:val="Normal"/>
    <w:rsid w:val="00F23992"/>
    <w:rPr>
      <w:rFonts w:ascii="Arial" w:hAnsi="Arial" w:cs="Arial"/>
    </w:rPr>
  </w:style>
  <w:style w:type="character" w:styleId="CommentReference">
    <w:name w:val="annotation reference"/>
    <w:basedOn w:val="DefaultParagraphFont"/>
    <w:uiPriority w:val="99"/>
    <w:semiHidden/>
    <w:unhideWhenUsed/>
    <w:rsid w:val="00232104"/>
    <w:rPr>
      <w:sz w:val="16"/>
      <w:szCs w:val="16"/>
    </w:rPr>
  </w:style>
  <w:style w:type="paragraph" w:styleId="CommentText">
    <w:name w:val="annotation text"/>
    <w:basedOn w:val="Normal"/>
    <w:link w:val="CommentTextChar"/>
    <w:uiPriority w:val="99"/>
    <w:semiHidden/>
    <w:unhideWhenUsed/>
    <w:rsid w:val="00232104"/>
    <w:rPr>
      <w:sz w:val="20"/>
      <w:szCs w:val="20"/>
    </w:rPr>
  </w:style>
  <w:style w:type="character" w:customStyle="1" w:styleId="CommentTextChar">
    <w:name w:val="Comment Text Char"/>
    <w:basedOn w:val="DefaultParagraphFont"/>
    <w:link w:val="CommentText"/>
    <w:uiPriority w:val="99"/>
    <w:semiHidden/>
    <w:rsid w:val="0023210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2104"/>
    <w:rPr>
      <w:b/>
      <w:bCs/>
    </w:rPr>
  </w:style>
  <w:style w:type="character" w:customStyle="1" w:styleId="CommentSubjectChar">
    <w:name w:val="Comment Subject Char"/>
    <w:basedOn w:val="CommentTextChar"/>
    <w:link w:val="CommentSubject"/>
    <w:uiPriority w:val="99"/>
    <w:semiHidden/>
    <w:rsid w:val="00232104"/>
    <w:rPr>
      <w:b/>
      <w:bCs/>
    </w:rPr>
  </w:style>
  <w:style w:type="paragraph" w:styleId="BalloonText">
    <w:name w:val="Balloon Text"/>
    <w:basedOn w:val="Normal"/>
    <w:link w:val="BalloonTextChar"/>
    <w:uiPriority w:val="99"/>
    <w:semiHidden/>
    <w:unhideWhenUsed/>
    <w:rsid w:val="00232104"/>
    <w:rPr>
      <w:rFonts w:ascii="Tahoma" w:hAnsi="Tahoma" w:cs="Tahoma"/>
      <w:sz w:val="16"/>
      <w:szCs w:val="16"/>
    </w:rPr>
  </w:style>
  <w:style w:type="character" w:customStyle="1" w:styleId="BalloonTextChar">
    <w:name w:val="Balloon Text Char"/>
    <w:basedOn w:val="DefaultParagraphFont"/>
    <w:link w:val="BalloonText"/>
    <w:uiPriority w:val="99"/>
    <w:semiHidden/>
    <w:rsid w:val="00232104"/>
    <w:rPr>
      <w:rFonts w:ascii="Tahoma" w:eastAsia="Times New Roman" w:hAnsi="Tahoma" w:cs="Tahoma"/>
      <w:sz w:val="16"/>
      <w:szCs w:val="16"/>
      <w:lang w:val="en-GB"/>
    </w:rPr>
  </w:style>
  <w:style w:type="character" w:customStyle="1" w:styleId="Heading3Char">
    <w:name w:val="Heading 3 Char"/>
    <w:basedOn w:val="DefaultParagraphFont"/>
    <w:link w:val="Heading3"/>
    <w:uiPriority w:val="9"/>
    <w:semiHidden/>
    <w:rsid w:val="008F1D06"/>
    <w:rPr>
      <w:rFonts w:asciiTheme="majorHAnsi" w:eastAsiaTheme="majorEastAsia" w:hAnsiTheme="majorHAnsi" w:cstheme="majorBidi"/>
      <w:b/>
      <w:bCs/>
      <w:color w:val="4F81BD" w:themeColor="accent1"/>
      <w:sz w:val="24"/>
      <w:szCs w:val="24"/>
      <w:lang w:val="en-GB"/>
    </w:rPr>
  </w:style>
  <w:style w:type="character" w:styleId="Strong">
    <w:name w:val="Strong"/>
    <w:basedOn w:val="DefaultParagraphFont"/>
    <w:uiPriority w:val="22"/>
    <w:qFormat/>
    <w:rsid w:val="008F1D06"/>
    <w:rPr>
      <w:b/>
      <w:bCs/>
    </w:rPr>
  </w:style>
  <w:style w:type="paragraph" w:styleId="BodyText">
    <w:name w:val="Body Text"/>
    <w:basedOn w:val="Normal"/>
    <w:link w:val="BodyTextChar"/>
    <w:rsid w:val="00407BDF"/>
    <w:pPr>
      <w:jc w:val="both"/>
    </w:pPr>
  </w:style>
  <w:style w:type="character" w:customStyle="1" w:styleId="BodyTextChar">
    <w:name w:val="Body Text Char"/>
    <w:basedOn w:val="DefaultParagraphFont"/>
    <w:link w:val="BodyText"/>
    <w:rsid w:val="00407BDF"/>
    <w:rPr>
      <w:rFonts w:ascii="Times New Roman" w:eastAsia="Times New Roman" w:hAnsi="Times New Roman" w:cs="Times New Roman"/>
      <w:sz w:val="24"/>
      <w:szCs w:val="24"/>
      <w:lang w:val="en-GB"/>
    </w:rPr>
  </w:style>
  <w:style w:type="character" w:styleId="EndnoteReference">
    <w:name w:val="endnote reference"/>
    <w:basedOn w:val="DefaultParagraphFont"/>
    <w:semiHidden/>
    <w:rsid w:val="00407BDF"/>
    <w:rPr>
      <w:vertAlign w:val="superscript"/>
    </w:rPr>
  </w:style>
  <w:style w:type="paragraph" w:styleId="EndnoteText">
    <w:name w:val="endnote text"/>
    <w:basedOn w:val="Normal"/>
    <w:link w:val="EndnoteTextChar"/>
    <w:semiHidden/>
    <w:rsid w:val="00407BDF"/>
    <w:rPr>
      <w:sz w:val="20"/>
      <w:szCs w:val="20"/>
    </w:rPr>
  </w:style>
  <w:style w:type="character" w:customStyle="1" w:styleId="EndnoteTextChar">
    <w:name w:val="Endnote Text Char"/>
    <w:basedOn w:val="DefaultParagraphFont"/>
    <w:link w:val="EndnoteText"/>
    <w:semiHidden/>
    <w:rsid w:val="00407BDF"/>
    <w:rPr>
      <w:rFonts w:ascii="Times New Roman" w:eastAsia="Times New Roman" w:hAnsi="Times New Roman" w:cs="Times New Roman"/>
      <w:sz w:val="20"/>
      <w:szCs w:val="20"/>
      <w:lang w:val="en-GB"/>
    </w:rPr>
  </w:style>
  <w:style w:type="paragraph" w:customStyle="1" w:styleId="ParaLevel1">
    <w:name w:val="ParaLevel1"/>
    <w:basedOn w:val="Normal"/>
    <w:uiPriority w:val="99"/>
    <w:rsid w:val="00E12AC4"/>
    <w:pPr>
      <w:numPr>
        <w:numId w:val="31"/>
      </w:numPr>
      <w:suppressAutoHyphens/>
      <w:spacing w:before="240" w:after="240"/>
      <w:jc w:val="both"/>
      <w:outlineLvl w:val="0"/>
    </w:pPr>
    <w:rPr>
      <w:szCs w:val="20"/>
    </w:rPr>
  </w:style>
  <w:style w:type="paragraph" w:customStyle="1" w:styleId="ParaLevel2">
    <w:name w:val="ParaLevel2"/>
    <w:basedOn w:val="Normal"/>
    <w:uiPriority w:val="99"/>
    <w:rsid w:val="00E12AC4"/>
    <w:pPr>
      <w:numPr>
        <w:ilvl w:val="1"/>
        <w:numId w:val="31"/>
      </w:numPr>
      <w:suppressAutoHyphens/>
      <w:spacing w:before="240" w:after="240"/>
      <w:jc w:val="both"/>
      <w:outlineLvl w:val="1"/>
    </w:pPr>
    <w:rPr>
      <w:szCs w:val="20"/>
    </w:rPr>
  </w:style>
  <w:style w:type="paragraph" w:customStyle="1" w:styleId="ParaLevel3">
    <w:name w:val="ParaLevel3"/>
    <w:basedOn w:val="Normal"/>
    <w:uiPriority w:val="99"/>
    <w:rsid w:val="00E12AC4"/>
    <w:pPr>
      <w:numPr>
        <w:ilvl w:val="2"/>
        <w:numId w:val="31"/>
      </w:numPr>
      <w:suppressAutoHyphens/>
      <w:spacing w:before="240" w:after="240"/>
      <w:jc w:val="both"/>
      <w:outlineLvl w:val="2"/>
    </w:pPr>
    <w:rPr>
      <w:szCs w:val="20"/>
    </w:rPr>
  </w:style>
  <w:style w:type="paragraph" w:customStyle="1" w:styleId="ParaLevel4">
    <w:name w:val="ParaLevel4"/>
    <w:basedOn w:val="Normal"/>
    <w:uiPriority w:val="99"/>
    <w:rsid w:val="00E12AC4"/>
    <w:pPr>
      <w:numPr>
        <w:ilvl w:val="3"/>
        <w:numId w:val="31"/>
      </w:numPr>
      <w:suppressAutoHyphens/>
      <w:spacing w:before="240" w:after="240"/>
      <w:jc w:val="both"/>
      <w:outlineLvl w:val="3"/>
    </w:pPr>
    <w:rPr>
      <w:szCs w:val="20"/>
    </w:rPr>
  </w:style>
  <w:style w:type="paragraph" w:customStyle="1" w:styleId="ParaLevel5">
    <w:name w:val="ParaLevel5"/>
    <w:basedOn w:val="Normal"/>
    <w:uiPriority w:val="99"/>
    <w:rsid w:val="00E12AC4"/>
    <w:pPr>
      <w:numPr>
        <w:ilvl w:val="4"/>
        <w:numId w:val="31"/>
      </w:numPr>
      <w:suppressAutoHyphens/>
      <w:spacing w:before="240" w:after="240"/>
      <w:jc w:val="both"/>
      <w:outlineLvl w:val="4"/>
    </w:pPr>
    <w:rPr>
      <w:szCs w:val="20"/>
    </w:rPr>
  </w:style>
  <w:style w:type="paragraph" w:customStyle="1" w:styleId="ParaLevel6">
    <w:name w:val="ParaLevel6"/>
    <w:basedOn w:val="Normal"/>
    <w:uiPriority w:val="99"/>
    <w:rsid w:val="00E12AC4"/>
    <w:pPr>
      <w:numPr>
        <w:ilvl w:val="5"/>
        <w:numId w:val="31"/>
      </w:numPr>
      <w:suppressAutoHyphens/>
      <w:spacing w:before="240" w:after="240"/>
      <w:jc w:val="both"/>
      <w:outlineLvl w:val="5"/>
    </w:pPr>
    <w:rPr>
      <w:szCs w:val="20"/>
    </w:rPr>
  </w:style>
  <w:style w:type="paragraph" w:customStyle="1" w:styleId="ParaLevel7">
    <w:name w:val="ParaLevel7"/>
    <w:basedOn w:val="Normal"/>
    <w:uiPriority w:val="99"/>
    <w:rsid w:val="00E12AC4"/>
    <w:pPr>
      <w:numPr>
        <w:ilvl w:val="6"/>
        <w:numId w:val="31"/>
      </w:numPr>
      <w:suppressAutoHyphens/>
      <w:spacing w:before="240" w:after="240"/>
      <w:jc w:val="both"/>
      <w:outlineLvl w:val="6"/>
    </w:pPr>
    <w:rPr>
      <w:szCs w:val="20"/>
    </w:rPr>
  </w:style>
  <w:style w:type="paragraph" w:customStyle="1" w:styleId="ParaLevel8">
    <w:name w:val="ParaLevel8"/>
    <w:basedOn w:val="Normal"/>
    <w:uiPriority w:val="99"/>
    <w:rsid w:val="00E12AC4"/>
    <w:pPr>
      <w:numPr>
        <w:ilvl w:val="7"/>
        <w:numId w:val="31"/>
      </w:numPr>
      <w:suppressAutoHyphens/>
      <w:spacing w:before="240" w:after="240"/>
      <w:jc w:val="both"/>
      <w:outlineLvl w:val="7"/>
    </w:pPr>
    <w:rPr>
      <w:szCs w:val="20"/>
    </w:rPr>
  </w:style>
  <w:style w:type="paragraph" w:customStyle="1" w:styleId="ParaLevel9">
    <w:name w:val="ParaLevel9"/>
    <w:basedOn w:val="Normal"/>
    <w:uiPriority w:val="99"/>
    <w:rsid w:val="00E12AC4"/>
    <w:pPr>
      <w:numPr>
        <w:ilvl w:val="8"/>
        <w:numId w:val="31"/>
      </w:numPr>
      <w:suppressAutoHyphens/>
      <w:spacing w:before="240" w:after="240"/>
      <w:jc w:val="both"/>
      <w:outlineLvl w:val="8"/>
    </w:pPr>
    <w:rPr>
      <w:szCs w:val="20"/>
    </w:rPr>
  </w:style>
  <w:style w:type="paragraph" w:styleId="Quote">
    <w:name w:val="Quote"/>
    <w:basedOn w:val="Normal"/>
    <w:next w:val="ParaLevel1"/>
    <w:link w:val="QuoteChar"/>
    <w:uiPriority w:val="99"/>
    <w:qFormat/>
    <w:rsid w:val="00E12AC4"/>
    <w:pPr>
      <w:spacing w:after="240"/>
      <w:ind w:left="1440" w:right="1440"/>
      <w:jc w:val="both"/>
    </w:pPr>
    <w:rPr>
      <w:szCs w:val="20"/>
    </w:rPr>
  </w:style>
  <w:style w:type="character" w:customStyle="1" w:styleId="QuoteChar">
    <w:name w:val="Quote Char"/>
    <w:basedOn w:val="DefaultParagraphFont"/>
    <w:link w:val="Quote"/>
    <w:uiPriority w:val="99"/>
    <w:rsid w:val="00E12AC4"/>
    <w:rPr>
      <w:rFonts w:ascii="Times New Roman" w:eastAsia="Times New Roman" w:hAnsi="Times New Roman" w:cs="Times New Roman"/>
      <w:sz w:val="24"/>
      <w:szCs w:val="20"/>
      <w:lang w:val="en-GB"/>
    </w:rPr>
  </w:style>
  <w:style w:type="paragraph" w:customStyle="1" w:styleId="s30eec3f8">
    <w:name w:val="s30eec3f8"/>
    <w:basedOn w:val="Normal"/>
    <w:rsid w:val="00E12AC4"/>
    <w:pPr>
      <w:spacing w:before="100" w:beforeAutospacing="1" w:after="100" w:afterAutospacing="1"/>
    </w:pPr>
    <w:rPr>
      <w:lang w:eastAsia="en-GB"/>
    </w:rPr>
  </w:style>
  <w:style w:type="character" w:customStyle="1" w:styleId="sb8d990e2">
    <w:name w:val="sb8d990e2"/>
    <w:basedOn w:val="DefaultParagraphFont"/>
    <w:rsid w:val="00E12AC4"/>
  </w:style>
  <w:style w:type="character" w:customStyle="1" w:styleId="s6b621b36">
    <w:name w:val="s6b621b36"/>
    <w:basedOn w:val="DefaultParagraphFont"/>
    <w:rsid w:val="00E12AC4"/>
  </w:style>
  <w:style w:type="paragraph" w:customStyle="1" w:styleId="bttitreb">
    <w:name w:val="bttitreb"/>
    <w:basedOn w:val="Normal"/>
    <w:rsid w:val="004B171F"/>
    <w:pPr>
      <w:spacing w:before="100" w:beforeAutospacing="1" w:after="100" w:afterAutospacing="1"/>
    </w:pPr>
    <w:rPr>
      <w:b/>
      <w:bCs/>
      <w:lang w:eastAsia="en-GB"/>
    </w:rPr>
  </w:style>
  <w:style w:type="paragraph" w:customStyle="1" w:styleId="legrhs1">
    <w:name w:val="legrhs1"/>
    <w:basedOn w:val="Normal"/>
    <w:rsid w:val="002D04F8"/>
    <w:pPr>
      <w:shd w:val="clear" w:color="auto" w:fill="FFFFFF"/>
      <w:spacing w:after="120" w:line="360" w:lineRule="atLeast"/>
      <w:jc w:val="both"/>
    </w:pPr>
    <w:rPr>
      <w:color w:val="000000"/>
      <w:sz w:val="19"/>
      <w:szCs w:val="19"/>
      <w:lang w:eastAsia="en-GB"/>
    </w:rPr>
  </w:style>
  <w:style w:type="character" w:customStyle="1" w:styleId="legterm">
    <w:name w:val="legterm"/>
    <w:basedOn w:val="DefaultParagraphFont"/>
    <w:rsid w:val="002D04F8"/>
  </w:style>
  <w:style w:type="paragraph" w:customStyle="1" w:styleId="legclearfix2">
    <w:name w:val="legclearfix2"/>
    <w:basedOn w:val="Normal"/>
    <w:rsid w:val="002D04F8"/>
    <w:pPr>
      <w:shd w:val="clear" w:color="auto" w:fill="FFFFFF"/>
      <w:spacing w:after="120" w:line="360" w:lineRule="atLeast"/>
    </w:pPr>
    <w:rPr>
      <w:color w:val="000000"/>
      <w:sz w:val="19"/>
      <w:szCs w:val="19"/>
      <w:lang w:eastAsia="en-GB"/>
    </w:rPr>
  </w:style>
  <w:style w:type="character" w:customStyle="1" w:styleId="legds2">
    <w:name w:val="legds2"/>
    <w:basedOn w:val="DefaultParagraphFont"/>
    <w:rsid w:val="002D04F8"/>
    <w:rPr>
      <w:vanish w:val="0"/>
      <w:webHidden w:val="0"/>
      <w:specVanish w:val="0"/>
    </w:rPr>
  </w:style>
  <w:style w:type="character" w:styleId="Emphasis">
    <w:name w:val="Emphasis"/>
    <w:basedOn w:val="DefaultParagraphFont"/>
    <w:uiPriority w:val="20"/>
    <w:qFormat/>
    <w:rsid w:val="00E15655"/>
    <w:rPr>
      <w:i/>
      <w:iCs/>
    </w:rPr>
  </w:style>
  <w:style w:type="paragraph" w:customStyle="1" w:styleId="s9e9b0cd7">
    <w:name w:val="s9e9b0cd7"/>
    <w:basedOn w:val="Normal"/>
    <w:rsid w:val="00F913D2"/>
    <w:pPr>
      <w:spacing w:before="100" w:beforeAutospacing="1" w:after="100" w:afterAutospacing="1"/>
    </w:pPr>
    <w:rPr>
      <w:lang w:eastAsia="en-GB"/>
    </w:rPr>
  </w:style>
  <w:style w:type="character" w:customStyle="1" w:styleId="sfbbfee58">
    <w:name w:val="sfbbfee58"/>
    <w:basedOn w:val="DefaultParagraphFont"/>
    <w:rsid w:val="00F913D2"/>
  </w:style>
</w:styles>
</file>

<file path=word/webSettings.xml><?xml version="1.0" encoding="utf-8"?>
<w:webSettings xmlns:r="http://schemas.openxmlformats.org/officeDocument/2006/relationships" xmlns:w="http://schemas.openxmlformats.org/wordprocessingml/2006/main">
  <w:divs>
    <w:div w:id="20863994">
      <w:bodyDiv w:val="1"/>
      <w:marLeft w:val="0"/>
      <w:marRight w:val="0"/>
      <w:marTop w:val="270"/>
      <w:marBottom w:val="0"/>
      <w:divBdr>
        <w:top w:val="none" w:sz="0" w:space="0" w:color="auto"/>
        <w:left w:val="none" w:sz="0" w:space="0" w:color="auto"/>
        <w:bottom w:val="none" w:sz="0" w:space="0" w:color="auto"/>
        <w:right w:val="none" w:sz="0" w:space="0" w:color="auto"/>
      </w:divBdr>
      <w:divsChild>
        <w:div w:id="1616910621">
          <w:marLeft w:val="0"/>
          <w:marRight w:val="0"/>
          <w:marTop w:val="0"/>
          <w:marBottom w:val="0"/>
          <w:divBdr>
            <w:top w:val="none" w:sz="0" w:space="0" w:color="auto"/>
            <w:left w:val="none" w:sz="0" w:space="0" w:color="auto"/>
            <w:bottom w:val="none" w:sz="0" w:space="0" w:color="auto"/>
            <w:right w:val="none" w:sz="0" w:space="0" w:color="auto"/>
          </w:divBdr>
        </w:div>
      </w:divsChild>
    </w:div>
    <w:div w:id="150482958">
      <w:bodyDiv w:val="1"/>
      <w:marLeft w:val="0"/>
      <w:marRight w:val="0"/>
      <w:marTop w:val="0"/>
      <w:marBottom w:val="0"/>
      <w:divBdr>
        <w:top w:val="none" w:sz="0" w:space="0" w:color="auto"/>
        <w:left w:val="none" w:sz="0" w:space="0" w:color="auto"/>
        <w:bottom w:val="none" w:sz="0" w:space="0" w:color="auto"/>
        <w:right w:val="none" w:sz="0" w:space="0" w:color="auto"/>
      </w:divBdr>
      <w:divsChild>
        <w:div w:id="50274063">
          <w:marLeft w:val="0"/>
          <w:marRight w:val="0"/>
          <w:marTop w:val="0"/>
          <w:marBottom w:val="0"/>
          <w:divBdr>
            <w:top w:val="none" w:sz="0" w:space="0" w:color="auto"/>
            <w:left w:val="none" w:sz="0" w:space="0" w:color="auto"/>
            <w:bottom w:val="none" w:sz="0" w:space="0" w:color="auto"/>
            <w:right w:val="none" w:sz="0" w:space="0" w:color="auto"/>
          </w:divBdr>
          <w:divsChild>
            <w:div w:id="344750382">
              <w:marLeft w:val="0"/>
              <w:marRight w:val="0"/>
              <w:marTop w:val="0"/>
              <w:marBottom w:val="0"/>
              <w:divBdr>
                <w:top w:val="none" w:sz="0" w:space="0" w:color="auto"/>
                <w:left w:val="none" w:sz="0" w:space="0" w:color="auto"/>
                <w:bottom w:val="none" w:sz="0" w:space="0" w:color="auto"/>
                <w:right w:val="none" w:sz="0" w:space="0" w:color="auto"/>
              </w:divBdr>
              <w:divsChild>
                <w:div w:id="4170249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307249365">
      <w:bodyDiv w:val="1"/>
      <w:marLeft w:val="0"/>
      <w:marRight w:val="0"/>
      <w:marTop w:val="0"/>
      <w:marBottom w:val="0"/>
      <w:divBdr>
        <w:top w:val="none" w:sz="0" w:space="0" w:color="auto"/>
        <w:left w:val="none" w:sz="0" w:space="0" w:color="auto"/>
        <w:bottom w:val="none" w:sz="0" w:space="0" w:color="auto"/>
        <w:right w:val="none" w:sz="0" w:space="0" w:color="auto"/>
      </w:divBdr>
    </w:div>
    <w:div w:id="321201609">
      <w:bodyDiv w:val="1"/>
      <w:marLeft w:val="0"/>
      <w:marRight w:val="0"/>
      <w:marTop w:val="0"/>
      <w:marBottom w:val="0"/>
      <w:divBdr>
        <w:top w:val="none" w:sz="0" w:space="0" w:color="auto"/>
        <w:left w:val="none" w:sz="0" w:space="0" w:color="auto"/>
        <w:bottom w:val="none" w:sz="0" w:space="0" w:color="auto"/>
        <w:right w:val="none" w:sz="0" w:space="0" w:color="auto"/>
      </w:divBdr>
      <w:divsChild>
        <w:div w:id="2119714768">
          <w:marLeft w:val="0"/>
          <w:marRight w:val="0"/>
          <w:marTop w:val="0"/>
          <w:marBottom w:val="0"/>
          <w:divBdr>
            <w:top w:val="none" w:sz="0" w:space="0" w:color="auto"/>
            <w:left w:val="none" w:sz="0" w:space="0" w:color="auto"/>
            <w:bottom w:val="none" w:sz="0" w:space="0" w:color="auto"/>
            <w:right w:val="none" w:sz="0" w:space="0" w:color="auto"/>
          </w:divBdr>
          <w:divsChild>
            <w:div w:id="338586288">
              <w:marLeft w:val="0"/>
              <w:marRight w:val="0"/>
              <w:marTop w:val="0"/>
              <w:marBottom w:val="0"/>
              <w:divBdr>
                <w:top w:val="none" w:sz="0" w:space="0" w:color="auto"/>
                <w:left w:val="none" w:sz="0" w:space="0" w:color="auto"/>
                <w:bottom w:val="none" w:sz="0" w:space="0" w:color="auto"/>
                <w:right w:val="none" w:sz="0" w:space="0" w:color="auto"/>
              </w:divBdr>
              <w:divsChild>
                <w:div w:id="965083367">
                  <w:marLeft w:val="0"/>
                  <w:marRight w:val="0"/>
                  <w:marTop w:val="0"/>
                  <w:marBottom w:val="0"/>
                  <w:divBdr>
                    <w:top w:val="none" w:sz="0" w:space="0" w:color="auto"/>
                    <w:left w:val="none" w:sz="0" w:space="0" w:color="auto"/>
                    <w:bottom w:val="none" w:sz="0" w:space="0" w:color="auto"/>
                    <w:right w:val="none" w:sz="0" w:space="0" w:color="auto"/>
                  </w:divBdr>
                  <w:divsChild>
                    <w:div w:id="1991053908">
                      <w:marLeft w:val="0"/>
                      <w:marRight w:val="0"/>
                      <w:marTop w:val="0"/>
                      <w:marBottom w:val="0"/>
                      <w:divBdr>
                        <w:top w:val="none" w:sz="0" w:space="0" w:color="auto"/>
                        <w:left w:val="none" w:sz="0" w:space="0" w:color="auto"/>
                        <w:bottom w:val="none" w:sz="0" w:space="0" w:color="auto"/>
                        <w:right w:val="none" w:sz="0" w:space="0" w:color="auto"/>
                      </w:divBdr>
                      <w:divsChild>
                        <w:div w:id="28647429">
                          <w:marLeft w:val="0"/>
                          <w:marRight w:val="0"/>
                          <w:marTop w:val="0"/>
                          <w:marBottom w:val="0"/>
                          <w:divBdr>
                            <w:top w:val="none" w:sz="0" w:space="0" w:color="auto"/>
                            <w:left w:val="none" w:sz="0" w:space="0" w:color="auto"/>
                            <w:bottom w:val="none" w:sz="0" w:space="0" w:color="auto"/>
                            <w:right w:val="none" w:sz="0" w:space="0" w:color="auto"/>
                          </w:divBdr>
                          <w:divsChild>
                            <w:div w:id="672730236">
                              <w:marLeft w:val="0"/>
                              <w:marRight w:val="0"/>
                              <w:marTop w:val="0"/>
                              <w:marBottom w:val="0"/>
                              <w:divBdr>
                                <w:top w:val="none" w:sz="0" w:space="0" w:color="auto"/>
                                <w:left w:val="none" w:sz="0" w:space="0" w:color="auto"/>
                                <w:bottom w:val="none" w:sz="0" w:space="0" w:color="auto"/>
                                <w:right w:val="none" w:sz="0" w:space="0" w:color="auto"/>
                              </w:divBdr>
                              <w:divsChild>
                                <w:div w:id="13488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644108">
      <w:bodyDiv w:val="1"/>
      <w:marLeft w:val="0"/>
      <w:marRight w:val="0"/>
      <w:marTop w:val="0"/>
      <w:marBottom w:val="0"/>
      <w:divBdr>
        <w:top w:val="none" w:sz="0" w:space="0" w:color="auto"/>
        <w:left w:val="none" w:sz="0" w:space="0" w:color="auto"/>
        <w:bottom w:val="none" w:sz="0" w:space="0" w:color="auto"/>
        <w:right w:val="none" w:sz="0" w:space="0" w:color="auto"/>
      </w:divBdr>
      <w:divsChild>
        <w:div w:id="1244215724">
          <w:marLeft w:val="0"/>
          <w:marRight w:val="0"/>
          <w:marTop w:val="0"/>
          <w:marBottom w:val="0"/>
          <w:divBdr>
            <w:top w:val="none" w:sz="0" w:space="0" w:color="auto"/>
            <w:left w:val="none" w:sz="0" w:space="0" w:color="auto"/>
            <w:bottom w:val="none" w:sz="0" w:space="0" w:color="auto"/>
            <w:right w:val="none" w:sz="0" w:space="0" w:color="auto"/>
          </w:divBdr>
          <w:divsChild>
            <w:div w:id="869875515">
              <w:marLeft w:val="0"/>
              <w:marRight w:val="0"/>
              <w:marTop w:val="0"/>
              <w:marBottom w:val="0"/>
              <w:divBdr>
                <w:top w:val="none" w:sz="0" w:space="0" w:color="auto"/>
                <w:left w:val="none" w:sz="0" w:space="0" w:color="auto"/>
                <w:bottom w:val="none" w:sz="0" w:space="0" w:color="auto"/>
                <w:right w:val="none" w:sz="0" w:space="0" w:color="auto"/>
              </w:divBdr>
              <w:divsChild>
                <w:div w:id="2095659654">
                  <w:marLeft w:val="0"/>
                  <w:marRight w:val="0"/>
                  <w:marTop w:val="0"/>
                  <w:marBottom w:val="0"/>
                  <w:divBdr>
                    <w:top w:val="none" w:sz="0" w:space="0" w:color="auto"/>
                    <w:left w:val="none" w:sz="0" w:space="0" w:color="auto"/>
                    <w:bottom w:val="none" w:sz="0" w:space="0" w:color="auto"/>
                    <w:right w:val="none" w:sz="0" w:space="0" w:color="auto"/>
                  </w:divBdr>
                  <w:divsChild>
                    <w:div w:id="1277131177">
                      <w:marLeft w:val="0"/>
                      <w:marRight w:val="0"/>
                      <w:marTop w:val="0"/>
                      <w:marBottom w:val="0"/>
                      <w:divBdr>
                        <w:top w:val="none" w:sz="0" w:space="0" w:color="auto"/>
                        <w:left w:val="none" w:sz="0" w:space="0" w:color="auto"/>
                        <w:bottom w:val="none" w:sz="0" w:space="0" w:color="auto"/>
                        <w:right w:val="none" w:sz="0" w:space="0" w:color="auto"/>
                      </w:divBdr>
                      <w:divsChild>
                        <w:div w:id="1401781676">
                          <w:marLeft w:val="0"/>
                          <w:marRight w:val="0"/>
                          <w:marTop w:val="0"/>
                          <w:marBottom w:val="0"/>
                          <w:divBdr>
                            <w:top w:val="none" w:sz="0" w:space="0" w:color="auto"/>
                            <w:left w:val="none" w:sz="0" w:space="0" w:color="auto"/>
                            <w:bottom w:val="none" w:sz="0" w:space="0" w:color="auto"/>
                            <w:right w:val="none" w:sz="0" w:space="0" w:color="auto"/>
                          </w:divBdr>
                          <w:divsChild>
                            <w:div w:id="5768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550767">
      <w:bodyDiv w:val="1"/>
      <w:marLeft w:val="0"/>
      <w:marRight w:val="0"/>
      <w:marTop w:val="270"/>
      <w:marBottom w:val="0"/>
      <w:divBdr>
        <w:top w:val="none" w:sz="0" w:space="0" w:color="auto"/>
        <w:left w:val="none" w:sz="0" w:space="0" w:color="auto"/>
        <w:bottom w:val="none" w:sz="0" w:space="0" w:color="auto"/>
        <w:right w:val="none" w:sz="0" w:space="0" w:color="auto"/>
      </w:divBdr>
      <w:divsChild>
        <w:div w:id="250968794">
          <w:marLeft w:val="0"/>
          <w:marRight w:val="0"/>
          <w:marTop w:val="0"/>
          <w:marBottom w:val="0"/>
          <w:divBdr>
            <w:top w:val="none" w:sz="0" w:space="0" w:color="auto"/>
            <w:left w:val="none" w:sz="0" w:space="0" w:color="auto"/>
            <w:bottom w:val="none" w:sz="0" w:space="0" w:color="auto"/>
            <w:right w:val="none" w:sz="0" w:space="0" w:color="auto"/>
          </w:divBdr>
        </w:div>
      </w:divsChild>
    </w:div>
    <w:div w:id="506947056">
      <w:bodyDiv w:val="1"/>
      <w:marLeft w:val="0"/>
      <w:marRight w:val="0"/>
      <w:marTop w:val="0"/>
      <w:marBottom w:val="0"/>
      <w:divBdr>
        <w:top w:val="none" w:sz="0" w:space="0" w:color="auto"/>
        <w:left w:val="none" w:sz="0" w:space="0" w:color="auto"/>
        <w:bottom w:val="none" w:sz="0" w:space="0" w:color="auto"/>
        <w:right w:val="none" w:sz="0" w:space="0" w:color="auto"/>
      </w:divBdr>
      <w:divsChild>
        <w:div w:id="1522158278">
          <w:marLeft w:val="0"/>
          <w:marRight w:val="0"/>
          <w:marTop w:val="0"/>
          <w:marBottom w:val="0"/>
          <w:divBdr>
            <w:top w:val="none" w:sz="0" w:space="0" w:color="auto"/>
            <w:left w:val="none" w:sz="0" w:space="0" w:color="auto"/>
            <w:bottom w:val="none" w:sz="0" w:space="0" w:color="auto"/>
            <w:right w:val="none" w:sz="0" w:space="0" w:color="auto"/>
          </w:divBdr>
          <w:divsChild>
            <w:div w:id="608902225">
              <w:marLeft w:val="0"/>
              <w:marRight w:val="0"/>
              <w:marTop w:val="0"/>
              <w:marBottom w:val="0"/>
              <w:divBdr>
                <w:top w:val="none" w:sz="0" w:space="0" w:color="auto"/>
                <w:left w:val="none" w:sz="0" w:space="0" w:color="auto"/>
                <w:bottom w:val="none" w:sz="0" w:space="0" w:color="auto"/>
                <w:right w:val="none" w:sz="0" w:space="0" w:color="auto"/>
              </w:divBdr>
              <w:divsChild>
                <w:div w:id="2051882309">
                  <w:marLeft w:val="0"/>
                  <w:marRight w:val="0"/>
                  <w:marTop w:val="0"/>
                  <w:marBottom w:val="0"/>
                  <w:divBdr>
                    <w:top w:val="none" w:sz="0" w:space="0" w:color="auto"/>
                    <w:left w:val="none" w:sz="0" w:space="0" w:color="auto"/>
                    <w:bottom w:val="none" w:sz="0" w:space="0" w:color="auto"/>
                    <w:right w:val="none" w:sz="0" w:space="0" w:color="auto"/>
                  </w:divBdr>
                  <w:divsChild>
                    <w:div w:id="246113130">
                      <w:marLeft w:val="0"/>
                      <w:marRight w:val="0"/>
                      <w:marTop w:val="0"/>
                      <w:marBottom w:val="0"/>
                      <w:divBdr>
                        <w:top w:val="none" w:sz="0" w:space="0" w:color="auto"/>
                        <w:left w:val="none" w:sz="0" w:space="0" w:color="auto"/>
                        <w:bottom w:val="none" w:sz="0" w:space="0" w:color="auto"/>
                        <w:right w:val="none" w:sz="0" w:space="0" w:color="auto"/>
                      </w:divBdr>
                      <w:divsChild>
                        <w:div w:id="1324357761">
                          <w:marLeft w:val="0"/>
                          <w:marRight w:val="0"/>
                          <w:marTop w:val="0"/>
                          <w:marBottom w:val="0"/>
                          <w:divBdr>
                            <w:top w:val="none" w:sz="0" w:space="0" w:color="auto"/>
                            <w:left w:val="none" w:sz="0" w:space="0" w:color="auto"/>
                            <w:bottom w:val="none" w:sz="0" w:space="0" w:color="auto"/>
                            <w:right w:val="none" w:sz="0" w:space="0" w:color="auto"/>
                          </w:divBdr>
                          <w:divsChild>
                            <w:div w:id="18384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247136">
      <w:bodyDiv w:val="1"/>
      <w:marLeft w:val="0"/>
      <w:marRight w:val="0"/>
      <w:marTop w:val="0"/>
      <w:marBottom w:val="0"/>
      <w:divBdr>
        <w:top w:val="none" w:sz="0" w:space="0" w:color="auto"/>
        <w:left w:val="none" w:sz="0" w:space="0" w:color="auto"/>
        <w:bottom w:val="none" w:sz="0" w:space="0" w:color="auto"/>
        <w:right w:val="none" w:sz="0" w:space="0" w:color="auto"/>
      </w:divBdr>
    </w:div>
    <w:div w:id="878781430">
      <w:bodyDiv w:val="1"/>
      <w:marLeft w:val="0"/>
      <w:marRight w:val="0"/>
      <w:marTop w:val="0"/>
      <w:marBottom w:val="0"/>
      <w:divBdr>
        <w:top w:val="none" w:sz="0" w:space="0" w:color="auto"/>
        <w:left w:val="none" w:sz="0" w:space="0" w:color="auto"/>
        <w:bottom w:val="none" w:sz="0" w:space="0" w:color="auto"/>
        <w:right w:val="none" w:sz="0" w:space="0" w:color="auto"/>
      </w:divBdr>
    </w:div>
    <w:div w:id="938099583">
      <w:bodyDiv w:val="1"/>
      <w:marLeft w:val="0"/>
      <w:marRight w:val="0"/>
      <w:marTop w:val="0"/>
      <w:marBottom w:val="0"/>
      <w:divBdr>
        <w:top w:val="none" w:sz="0" w:space="0" w:color="auto"/>
        <w:left w:val="none" w:sz="0" w:space="0" w:color="auto"/>
        <w:bottom w:val="none" w:sz="0" w:space="0" w:color="auto"/>
        <w:right w:val="none" w:sz="0" w:space="0" w:color="auto"/>
      </w:divBdr>
      <w:divsChild>
        <w:div w:id="1360738066">
          <w:marLeft w:val="0"/>
          <w:marRight w:val="0"/>
          <w:marTop w:val="0"/>
          <w:marBottom w:val="0"/>
          <w:divBdr>
            <w:top w:val="none" w:sz="0" w:space="0" w:color="auto"/>
            <w:left w:val="none" w:sz="0" w:space="0" w:color="auto"/>
            <w:bottom w:val="none" w:sz="0" w:space="0" w:color="auto"/>
            <w:right w:val="none" w:sz="0" w:space="0" w:color="auto"/>
          </w:divBdr>
          <w:divsChild>
            <w:div w:id="167453654">
              <w:marLeft w:val="0"/>
              <w:marRight w:val="0"/>
              <w:marTop w:val="0"/>
              <w:marBottom w:val="0"/>
              <w:divBdr>
                <w:top w:val="none" w:sz="0" w:space="0" w:color="auto"/>
                <w:left w:val="none" w:sz="0" w:space="0" w:color="auto"/>
                <w:bottom w:val="none" w:sz="0" w:space="0" w:color="auto"/>
                <w:right w:val="none" w:sz="0" w:space="0" w:color="auto"/>
              </w:divBdr>
              <w:divsChild>
                <w:div w:id="131562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13873906">
      <w:bodyDiv w:val="1"/>
      <w:marLeft w:val="0"/>
      <w:marRight w:val="0"/>
      <w:marTop w:val="0"/>
      <w:marBottom w:val="0"/>
      <w:divBdr>
        <w:top w:val="none" w:sz="0" w:space="0" w:color="auto"/>
        <w:left w:val="none" w:sz="0" w:space="0" w:color="auto"/>
        <w:bottom w:val="none" w:sz="0" w:space="0" w:color="auto"/>
        <w:right w:val="none" w:sz="0" w:space="0" w:color="auto"/>
      </w:divBdr>
    </w:div>
    <w:div w:id="1033534933">
      <w:bodyDiv w:val="1"/>
      <w:marLeft w:val="0"/>
      <w:marRight w:val="0"/>
      <w:marTop w:val="0"/>
      <w:marBottom w:val="0"/>
      <w:divBdr>
        <w:top w:val="none" w:sz="0" w:space="0" w:color="auto"/>
        <w:left w:val="none" w:sz="0" w:space="0" w:color="auto"/>
        <w:bottom w:val="none" w:sz="0" w:space="0" w:color="auto"/>
        <w:right w:val="none" w:sz="0" w:space="0" w:color="auto"/>
      </w:divBdr>
      <w:divsChild>
        <w:div w:id="1880778711">
          <w:marLeft w:val="0"/>
          <w:marRight w:val="0"/>
          <w:marTop w:val="0"/>
          <w:marBottom w:val="0"/>
          <w:divBdr>
            <w:top w:val="none" w:sz="0" w:space="0" w:color="auto"/>
            <w:left w:val="none" w:sz="0" w:space="0" w:color="auto"/>
            <w:bottom w:val="none" w:sz="0" w:space="0" w:color="auto"/>
            <w:right w:val="none" w:sz="0" w:space="0" w:color="auto"/>
          </w:divBdr>
          <w:divsChild>
            <w:div w:id="1143044397">
              <w:marLeft w:val="0"/>
              <w:marRight w:val="0"/>
              <w:marTop w:val="0"/>
              <w:marBottom w:val="0"/>
              <w:divBdr>
                <w:top w:val="none" w:sz="0" w:space="0" w:color="auto"/>
                <w:left w:val="none" w:sz="0" w:space="0" w:color="auto"/>
                <w:bottom w:val="none" w:sz="0" w:space="0" w:color="auto"/>
                <w:right w:val="none" w:sz="0" w:space="0" w:color="auto"/>
              </w:divBdr>
              <w:divsChild>
                <w:div w:id="1944652359">
                  <w:marLeft w:val="0"/>
                  <w:marRight w:val="0"/>
                  <w:marTop w:val="0"/>
                  <w:marBottom w:val="0"/>
                  <w:divBdr>
                    <w:top w:val="none" w:sz="0" w:space="0" w:color="auto"/>
                    <w:left w:val="none" w:sz="0" w:space="0" w:color="auto"/>
                    <w:bottom w:val="none" w:sz="0" w:space="0" w:color="auto"/>
                    <w:right w:val="none" w:sz="0" w:space="0" w:color="auto"/>
                  </w:divBdr>
                  <w:divsChild>
                    <w:div w:id="2119064625">
                      <w:marLeft w:val="0"/>
                      <w:marRight w:val="0"/>
                      <w:marTop w:val="0"/>
                      <w:marBottom w:val="0"/>
                      <w:divBdr>
                        <w:top w:val="none" w:sz="0" w:space="0" w:color="auto"/>
                        <w:left w:val="none" w:sz="0" w:space="0" w:color="auto"/>
                        <w:bottom w:val="none" w:sz="0" w:space="0" w:color="auto"/>
                        <w:right w:val="none" w:sz="0" w:space="0" w:color="auto"/>
                      </w:divBdr>
                      <w:divsChild>
                        <w:div w:id="15365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467197">
      <w:bodyDiv w:val="1"/>
      <w:marLeft w:val="0"/>
      <w:marRight w:val="0"/>
      <w:marTop w:val="0"/>
      <w:marBottom w:val="0"/>
      <w:divBdr>
        <w:top w:val="none" w:sz="0" w:space="0" w:color="auto"/>
        <w:left w:val="none" w:sz="0" w:space="0" w:color="auto"/>
        <w:bottom w:val="none" w:sz="0" w:space="0" w:color="auto"/>
        <w:right w:val="none" w:sz="0" w:space="0" w:color="auto"/>
      </w:divBdr>
      <w:divsChild>
        <w:div w:id="447821159">
          <w:marLeft w:val="0"/>
          <w:marRight w:val="0"/>
          <w:marTop w:val="0"/>
          <w:marBottom w:val="0"/>
          <w:divBdr>
            <w:top w:val="none" w:sz="0" w:space="0" w:color="auto"/>
            <w:left w:val="none" w:sz="0" w:space="0" w:color="auto"/>
            <w:bottom w:val="none" w:sz="0" w:space="0" w:color="auto"/>
            <w:right w:val="none" w:sz="0" w:space="0" w:color="auto"/>
          </w:divBdr>
          <w:divsChild>
            <w:div w:id="1918712963">
              <w:marLeft w:val="0"/>
              <w:marRight w:val="0"/>
              <w:marTop w:val="0"/>
              <w:marBottom w:val="0"/>
              <w:divBdr>
                <w:top w:val="none" w:sz="0" w:space="0" w:color="auto"/>
                <w:left w:val="none" w:sz="0" w:space="0" w:color="auto"/>
                <w:bottom w:val="none" w:sz="0" w:space="0" w:color="auto"/>
                <w:right w:val="none" w:sz="0" w:space="0" w:color="auto"/>
              </w:divBdr>
              <w:divsChild>
                <w:div w:id="1339844324">
                  <w:marLeft w:val="0"/>
                  <w:marRight w:val="0"/>
                  <w:marTop w:val="0"/>
                  <w:marBottom w:val="0"/>
                  <w:divBdr>
                    <w:top w:val="none" w:sz="0" w:space="0" w:color="auto"/>
                    <w:left w:val="none" w:sz="0" w:space="0" w:color="auto"/>
                    <w:bottom w:val="none" w:sz="0" w:space="0" w:color="auto"/>
                    <w:right w:val="none" w:sz="0" w:space="0" w:color="auto"/>
                  </w:divBdr>
                  <w:divsChild>
                    <w:div w:id="972751397">
                      <w:marLeft w:val="0"/>
                      <w:marRight w:val="0"/>
                      <w:marTop w:val="0"/>
                      <w:marBottom w:val="0"/>
                      <w:divBdr>
                        <w:top w:val="none" w:sz="0" w:space="0" w:color="auto"/>
                        <w:left w:val="none" w:sz="0" w:space="0" w:color="auto"/>
                        <w:bottom w:val="none" w:sz="0" w:space="0" w:color="auto"/>
                        <w:right w:val="none" w:sz="0" w:space="0" w:color="auto"/>
                      </w:divBdr>
                      <w:divsChild>
                        <w:div w:id="480585255">
                          <w:marLeft w:val="0"/>
                          <w:marRight w:val="0"/>
                          <w:marTop w:val="0"/>
                          <w:marBottom w:val="0"/>
                          <w:divBdr>
                            <w:top w:val="none" w:sz="0" w:space="0" w:color="auto"/>
                            <w:left w:val="none" w:sz="0" w:space="0" w:color="auto"/>
                            <w:bottom w:val="none" w:sz="0" w:space="0" w:color="auto"/>
                            <w:right w:val="none" w:sz="0" w:space="0" w:color="auto"/>
                          </w:divBdr>
                          <w:divsChild>
                            <w:div w:id="1878621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08125">
      <w:bodyDiv w:val="1"/>
      <w:marLeft w:val="0"/>
      <w:marRight w:val="0"/>
      <w:marTop w:val="0"/>
      <w:marBottom w:val="0"/>
      <w:divBdr>
        <w:top w:val="none" w:sz="0" w:space="0" w:color="auto"/>
        <w:left w:val="none" w:sz="0" w:space="0" w:color="auto"/>
        <w:bottom w:val="none" w:sz="0" w:space="0" w:color="auto"/>
        <w:right w:val="none" w:sz="0" w:space="0" w:color="auto"/>
      </w:divBdr>
    </w:div>
    <w:div w:id="1232930016">
      <w:bodyDiv w:val="1"/>
      <w:marLeft w:val="0"/>
      <w:marRight w:val="0"/>
      <w:marTop w:val="0"/>
      <w:marBottom w:val="0"/>
      <w:divBdr>
        <w:top w:val="none" w:sz="0" w:space="0" w:color="auto"/>
        <w:left w:val="none" w:sz="0" w:space="0" w:color="auto"/>
        <w:bottom w:val="none" w:sz="0" w:space="0" w:color="auto"/>
        <w:right w:val="none" w:sz="0" w:space="0" w:color="auto"/>
      </w:divBdr>
    </w:div>
    <w:div w:id="1512719813">
      <w:bodyDiv w:val="1"/>
      <w:marLeft w:val="0"/>
      <w:marRight w:val="0"/>
      <w:marTop w:val="0"/>
      <w:marBottom w:val="0"/>
      <w:divBdr>
        <w:top w:val="none" w:sz="0" w:space="0" w:color="auto"/>
        <w:left w:val="none" w:sz="0" w:space="0" w:color="auto"/>
        <w:bottom w:val="none" w:sz="0" w:space="0" w:color="auto"/>
        <w:right w:val="none" w:sz="0" w:space="0" w:color="auto"/>
      </w:divBdr>
      <w:divsChild>
        <w:div w:id="384304100">
          <w:marLeft w:val="0"/>
          <w:marRight w:val="0"/>
          <w:marTop w:val="0"/>
          <w:marBottom w:val="0"/>
          <w:divBdr>
            <w:top w:val="none" w:sz="0" w:space="0" w:color="auto"/>
            <w:left w:val="none" w:sz="0" w:space="0" w:color="auto"/>
            <w:bottom w:val="none" w:sz="0" w:space="0" w:color="auto"/>
            <w:right w:val="none" w:sz="0" w:space="0" w:color="auto"/>
          </w:divBdr>
          <w:divsChild>
            <w:div w:id="1248997877">
              <w:marLeft w:val="0"/>
              <w:marRight w:val="0"/>
              <w:marTop w:val="0"/>
              <w:marBottom w:val="0"/>
              <w:divBdr>
                <w:top w:val="single" w:sz="2" w:space="0" w:color="FFFFFF"/>
                <w:left w:val="single" w:sz="6" w:space="0" w:color="FFFFFF"/>
                <w:bottom w:val="single" w:sz="6" w:space="0" w:color="FFFFFF"/>
                <w:right w:val="single" w:sz="6" w:space="0" w:color="FFFFFF"/>
              </w:divBdr>
              <w:divsChild>
                <w:div w:id="1326282419">
                  <w:marLeft w:val="0"/>
                  <w:marRight w:val="0"/>
                  <w:marTop w:val="0"/>
                  <w:marBottom w:val="0"/>
                  <w:divBdr>
                    <w:top w:val="single" w:sz="6" w:space="1" w:color="D3D3D3"/>
                    <w:left w:val="none" w:sz="0" w:space="0" w:color="auto"/>
                    <w:bottom w:val="none" w:sz="0" w:space="0" w:color="auto"/>
                    <w:right w:val="none" w:sz="0" w:space="0" w:color="auto"/>
                  </w:divBdr>
                  <w:divsChild>
                    <w:div w:id="1133211748">
                      <w:marLeft w:val="0"/>
                      <w:marRight w:val="0"/>
                      <w:marTop w:val="0"/>
                      <w:marBottom w:val="0"/>
                      <w:divBdr>
                        <w:top w:val="none" w:sz="0" w:space="0" w:color="auto"/>
                        <w:left w:val="none" w:sz="0" w:space="0" w:color="auto"/>
                        <w:bottom w:val="none" w:sz="0" w:space="0" w:color="auto"/>
                        <w:right w:val="none" w:sz="0" w:space="0" w:color="auto"/>
                      </w:divBdr>
                      <w:divsChild>
                        <w:div w:id="6715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044557">
      <w:bodyDiv w:val="1"/>
      <w:marLeft w:val="0"/>
      <w:marRight w:val="0"/>
      <w:marTop w:val="0"/>
      <w:marBottom w:val="0"/>
      <w:divBdr>
        <w:top w:val="none" w:sz="0" w:space="0" w:color="auto"/>
        <w:left w:val="none" w:sz="0" w:space="0" w:color="auto"/>
        <w:bottom w:val="none" w:sz="0" w:space="0" w:color="auto"/>
        <w:right w:val="none" w:sz="0" w:space="0" w:color="auto"/>
      </w:divBdr>
    </w:div>
    <w:div w:id="1715153567">
      <w:bodyDiv w:val="1"/>
      <w:marLeft w:val="0"/>
      <w:marRight w:val="0"/>
      <w:marTop w:val="0"/>
      <w:marBottom w:val="0"/>
      <w:divBdr>
        <w:top w:val="none" w:sz="0" w:space="0" w:color="auto"/>
        <w:left w:val="none" w:sz="0" w:space="0" w:color="auto"/>
        <w:bottom w:val="none" w:sz="0" w:space="0" w:color="auto"/>
        <w:right w:val="none" w:sz="0" w:space="0" w:color="auto"/>
      </w:divBdr>
    </w:div>
    <w:div w:id="1743332559">
      <w:bodyDiv w:val="1"/>
      <w:marLeft w:val="0"/>
      <w:marRight w:val="0"/>
      <w:marTop w:val="0"/>
      <w:marBottom w:val="0"/>
      <w:divBdr>
        <w:top w:val="none" w:sz="0" w:space="0" w:color="auto"/>
        <w:left w:val="none" w:sz="0" w:space="0" w:color="auto"/>
        <w:bottom w:val="none" w:sz="0" w:space="0" w:color="auto"/>
        <w:right w:val="none" w:sz="0" w:space="0" w:color="auto"/>
      </w:divBdr>
      <w:divsChild>
        <w:div w:id="185339611">
          <w:marLeft w:val="0"/>
          <w:marRight w:val="0"/>
          <w:marTop w:val="0"/>
          <w:marBottom w:val="0"/>
          <w:divBdr>
            <w:top w:val="none" w:sz="0" w:space="0" w:color="auto"/>
            <w:left w:val="none" w:sz="0" w:space="0" w:color="auto"/>
            <w:bottom w:val="none" w:sz="0" w:space="0" w:color="auto"/>
            <w:right w:val="none" w:sz="0" w:space="0" w:color="auto"/>
          </w:divBdr>
          <w:divsChild>
            <w:div w:id="354311161">
              <w:marLeft w:val="0"/>
              <w:marRight w:val="0"/>
              <w:marTop w:val="0"/>
              <w:marBottom w:val="0"/>
              <w:divBdr>
                <w:top w:val="none" w:sz="0" w:space="0" w:color="auto"/>
                <w:left w:val="none" w:sz="0" w:space="0" w:color="auto"/>
                <w:bottom w:val="none" w:sz="0" w:space="0" w:color="auto"/>
                <w:right w:val="none" w:sz="0" w:space="0" w:color="auto"/>
              </w:divBdr>
              <w:divsChild>
                <w:div w:id="1552301071">
                  <w:marLeft w:val="0"/>
                  <w:marRight w:val="0"/>
                  <w:marTop w:val="0"/>
                  <w:marBottom w:val="0"/>
                  <w:divBdr>
                    <w:top w:val="none" w:sz="0" w:space="0" w:color="auto"/>
                    <w:left w:val="none" w:sz="0" w:space="0" w:color="auto"/>
                    <w:bottom w:val="none" w:sz="0" w:space="0" w:color="auto"/>
                    <w:right w:val="none" w:sz="0" w:space="0" w:color="auto"/>
                  </w:divBdr>
                  <w:divsChild>
                    <w:div w:id="1409810441">
                      <w:marLeft w:val="0"/>
                      <w:marRight w:val="0"/>
                      <w:marTop w:val="0"/>
                      <w:marBottom w:val="0"/>
                      <w:divBdr>
                        <w:top w:val="none" w:sz="0" w:space="0" w:color="auto"/>
                        <w:left w:val="none" w:sz="0" w:space="0" w:color="auto"/>
                        <w:bottom w:val="none" w:sz="0" w:space="0" w:color="auto"/>
                        <w:right w:val="none" w:sz="0" w:space="0" w:color="auto"/>
                      </w:divBdr>
                      <w:divsChild>
                        <w:div w:id="554704827">
                          <w:marLeft w:val="0"/>
                          <w:marRight w:val="0"/>
                          <w:marTop w:val="0"/>
                          <w:marBottom w:val="0"/>
                          <w:divBdr>
                            <w:top w:val="none" w:sz="0" w:space="0" w:color="auto"/>
                            <w:left w:val="none" w:sz="0" w:space="0" w:color="auto"/>
                            <w:bottom w:val="none" w:sz="0" w:space="0" w:color="auto"/>
                            <w:right w:val="none" w:sz="0" w:space="0" w:color="auto"/>
                          </w:divBdr>
                          <w:divsChild>
                            <w:div w:id="508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97127">
      <w:bodyDiv w:val="1"/>
      <w:marLeft w:val="0"/>
      <w:marRight w:val="0"/>
      <w:marTop w:val="0"/>
      <w:marBottom w:val="0"/>
      <w:divBdr>
        <w:top w:val="none" w:sz="0" w:space="0" w:color="auto"/>
        <w:left w:val="none" w:sz="0" w:space="0" w:color="auto"/>
        <w:bottom w:val="none" w:sz="0" w:space="0" w:color="auto"/>
        <w:right w:val="none" w:sz="0" w:space="0" w:color="auto"/>
      </w:divBdr>
      <w:divsChild>
        <w:div w:id="482507147">
          <w:marLeft w:val="0"/>
          <w:marRight w:val="0"/>
          <w:marTop w:val="0"/>
          <w:marBottom w:val="0"/>
          <w:divBdr>
            <w:top w:val="none" w:sz="0" w:space="0" w:color="auto"/>
            <w:left w:val="none" w:sz="0" w:space="0" w:color="auto"/>
            <w:bottom w:val="none" w:sz="0" w:space="0" w:color="auto"/>
            <w:right w:val="none" w:sz="0" w:space="0" w:color="auto"/>
          </w:divBdr>
          <w:divsChild>
            <w:div w:id="1365210568">
              <w:marLeft w:val="0"/>
              <w:marRight w:val="0"/>
              <w:marTop w:val="0"/>
              <w:marBottom w:val="0"/>
              <w:divBdr>
                <w:top w:val="none" w:sz="0" w:space="0" w:color="auto"/>
                <w:left w:val="none" w:sz="0" w:space="0" w:color="auto"/>
                <w:bottom w:val="none" w:sz="0" w:space="0" w:color="auto"/>
                <w:right w:val="none" w:sz="0" w:space="0" w:color="auto"/>
              </w:divBdr>
              <w:divsChild>
                <w:div w:id="1263950873">
                  <w:marLeft w:val="0"/>
                  <w:marRight w:val="0"/>
                  <w:marTop w:val="0"/>
                  <w:marBottom w:val="0"/>
                  <w:divBdr>
                    <w:top w:val="none" w:sz="0" w:space="0" w:color="auto"/>
                    <w:left w:val="none" w:sz="0" w:space="0" w:color="auto"/>
                    <w:bottom w:val="none" w:sz="0" w:space="0" w:color="auto"/>
                    <w:right w:val="none" w:sz="0" w:space="0" w:color="auto"/>
                  </w:divBdr>
                  <w:divsChild>
                    <w:div w:id="1119375621">
                      <w:marLeft w:val="0"/>
                      <w:marRight w:val="0"/>
                      <w:marTop w:val="0"/>
                      <w:marBottom w:val="0"/>
                      <w:divBdr>
                        <w:top w:val="none" w:sz="0" w:space="0" w:color="auto"/>
                        <w:left w:val="none" w:sz="0" w:space="0" w:color="auto"/>
                        <w:bottom w:val="none" w:sz="0" w:space="0" w:color="auto"/>
                        <w:right w:val="none" w:sz="0" w:space="0" w:color="auto"/>
                      </w:divBdr>
                      <w:divsChild>
                        <w:div w:id="1094013265">
                          <w:marLeft w:val="0"/>
                          <w:marRight w:val="0"/>
                          <w:marTop w:val="0"/>
                          <w:marBottom w:val="0"/>
                          <w:divBdr>
                            <w:top w:val="none" w:sz="0" w:space="0" w:color="auto"/>
                            <w:left w:val="none" w:sz="0" w:space="0" w:color="auto"/>
                            <w:bottom w:val="none" w:sz="0" w:space="0" w:color="auto"/>
                            <w:right w:val="none" w:sz="0" w:space="0" w:color="auto"/>
                          </w:divBdr>
                          <w:divsChild>
                            <w:div w:id="20479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B0AEA-CD50-49F2-AF69-1BADE3B1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28</Pages>
  <Words>10093</Words>
  <Characters>57533</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3</cp:revision>
  <cp:lastPrinted>2012-11-14T10:49:00Z</cp:lastPrinted>
  <dcterms:created xsi:type="dcterms:W3CDTF">2012-11-14T10:44:00Z</dcterms:created>
  <dcterms:modified xsi:type="dcterms:W3CDTF">2012-11-14T13:08:00Z</dcterms:modified>
</cp:coreProperties>
</file>